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5E63" w14:textId="77777777" w:rsidR="00F376CE" w:rsidRDefault="00F376CE" w:rsidP="0029704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C6BAD4" w14:textId="69A1B1D0" w:rsidR="00C92FE9" w:rsidRPr="001B055D" w:rsidRDefault="00975435" w:rsidP="0052544F">
      <w:pPr>
        <w:pStyle w:val="ListParagraph"/>
        <w:spacing w:after="0"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3492BF" wp14:editId="6F4949D0">
            <wp:extent cx="1082040" cy="113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A4011" w14:textId="77777777" w:rsidR="00D56562" w:rsidRDefault="00C92FE9" w:rsidP="0052544F">
      <w:pPr>
        <w:pStyle w:val="ListParagraph"/>
        <w:tabs>
          <w:tab w:val="left" w:pos="5638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PAPILDOMŲJŲ STUDIJŲ PROGRAMOS APRAŠAS</w:t>
      </w:r>
    </w:p>
    <w:p w14:paraId="757898F9" w14:textId="77777777" w:rsidR="00C92FE9" w:rsidRPr="001B055D" w:rsidRDefault="00C92FE9" w:rsidP="00C92FE9">
      <w:pPr>
        <w:pStyle w:val="ListParagraph"/>
        <w:tabs>
          <w:tab w:val="left" w:pos="5638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74"/>
        <w:gridCol w:w="3955"/>
        <w:gridCol w:w="689"/>
        <w:gridCol w:w="914"/>
        <w:gridCol w:w="760"/>
        <w:gridCol w:w="628"/>
      </w:tblGrid>
      <w:tr w:rsidR="00B47719" w:rsidRPr="00F64EC3" w14:paraId="2AA91666" w14:textId="77777777" w:rsidTr="00BE75CB">
        <w:tc>
          <w:tcPr>
            <w:tcW w:w="2903" w:type="dxa"/>
            <w:shd w:val="clear" w:color="auto" w:fill="F2F2F2"/>
          </w:tcPr>
          <w:p w14:paraId="2E918FA1" w14:textId="77777777" w:rsidR="00B47719" w:rsidRPr="00C92FE9" w:rsidRDefault="0052544F" w:rsidP="005254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Kamieninis akademinis padalinys</w:t>
            </w:r>
          </w:p>
        </w:tc>
        <w:tc>
          <w:tcPr>
            <w:tcW w:w="7020" w:type="dxa"/>
            <w:gridSpan w:val="6"/>
            <w:shd w:val="clear" w:color="auto" w:fill="F2F2F2"/>
          </w:tcPr>
          <w:p w14:paraId="213FE10B" w14:textId="77777777" w:rsidR="00B47719" w:rsidRPr="00C92FE9" w:rsidRDefault="002C4A87" w:rsidP="007E415E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Šiaulių akademija</w:t>
            </w:r>
          </w:p>
        </w:tc>
      </w:tr>
      <w:tr w:rsidR="00B47719" w:rsidRPr="00F64EC3" w14:paraId="7377E3C2" w14:textId="77777777" w:rsidTr="00BE75CB">
        <w:tc>
          <w:tcPr>
            <w:tcW w:w="2903" w:type="dxa"/>
          </w:tcPr>
          <w:p w14:paraId="33CD11C2" w14:textId="77777777" w:rsidR="00B47719" w:rsidRPr="00C92FE9" w:rsidRDefault="00C92FE9" w:rsidP="00C92F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>Programos p</w:t>
            </w:r>
            <w:r w:rsidR="00B47719" w:rsidRPr="00C92FE9">
              <w:rPr>
                <w:rFonts w:ascii="Times New Roman" w:hAnsi="Times New Roman"/>
                <w:b/>
                <w:sz w:val="20"/>
                <w:szCs w:val="20"/>
              </w:rPr>
              <w:t>avadinimas</w:t>
            </w:r>
          </w:p>
        </w:tc>
        <w:tc>
          <w:tcPr>
            <w:tcW w:w="7020" w:type="dxa"/>
            <w:gridSpan w:val="6"/>
          </w:tcPr>
          <w:p w14:paraId="5D2F1CFC" w14:textId="77777777" w:rsidR="00B47719" w:rsidRPr="00C92FE9" w:rsidRDefault="002C4A87" w:rsidP="003C6603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Viešasis valdymas</w:t>
            </w:r>
          </w:p>
        </w:tc>
      </w:tr>
      <w:tr w:rsidR="00637C59" w:rsidRPr="00F64EC3" w14:paraId="36BB8331" w14:textId="77777777" w:rsidTr="00BE75CB">
        <w:trPr>
          <w:trHeight w:val="1021"/>
        </w:trPr>
        <w:tc>
          <w:tcPr>
            <w:tcW w:w="2903" w:type="dxa"/>
          </w:tcPr>
          <w:p w14:paraId="59697F1D" w14:textId="77777777" w:rsidR="00637C59" w:rsidRPr="00C92FE9" w:rsidRDefault="00637C5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>Programos tikslas</w:t>
            </w:r>
          </w:p>
        </w:tc>
        <w:tc>
          <w:tcPr>
            <w:tcW w:w="7020" w:type="dxa"/>
            <w:gridSpan w:val="6"/>
          </w:tcPr>
          <w:p w14:paraId="566689A6" w14:textId="77777777" w:rsidR="00290762" w:rsidRPr="0067048D" w:rsidRDefault="0053737A" w:rsidP="00670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 xml:space="preserve">Baigę šią programą studentai įgis kompetencijų </w:t>
            </w:r>
            <w:r w:rsidR="00350B0F" w:rsidRPr="0067048D">
              <w:rPr>
                <w:sz w:val="20"/>
                <w:szCs w:val="20"/>
              </w:rPr>
              <w:t xml:space="preserve">analizuoti </w:t>
            </w:r>
            <w:r w:rsidR="006B3E1E" w:rsidRPr="0067048D">
              <w:rPr>
                <w:sz w:val="20"/>
                <w:szCs w:val="20"/>
              </w:rPr>
              <w:t>viešosios politikos formavimo proces</w:t>
            </w:r>
            <w:r w:rsidR="00DC2CEA" w:rsidRPr="0067048D">
              <w:rPr>
                <w:sz w:val="20"/>
                <w:szCs w:val="20"/>
              </w:rPr>
              <w:t>us</w:t>
            </w:r>
            <w:r w:rsidR="006B3E1E" w:rsidRPr="0067048D">
              <w:rPr>
                <w:sz w:val="20"/>
                <w:szCs w:val="20"/>
              </w:rPr>
              <w:t xml:space="preserve">, </w:t>
            </w:r>
            <w:r w:rsidR="00DC2CEA" w:rsidRPr="0067048D">
              <w:rPr>
                <w:sz w:val="20"/>
                <w:szCs w:val="20"/>
              </w:rPr>
              <w:t xml:space="preserve">teisinius </w:t>
            </w:r>
            <w:r w:rsidR="00350B0F" w:rsidRPr="0067048D">
              <w:rPr>
                <w:sz w:val="20"/>
                <w:szCs w:val="20"/>
              </w:rPr>
              <w:t>viešojo administravimo sistemų formavim</w:t>
            </w:r>
            <w:r w:rsidR="00DC2CEA" w:rsidRPr="0067048D">
              <w:rPr>
                <w:sz w:val="20"/>
                <w:szCs w:val="20"/>
              </w:rPr>
              <w:t>o</w:t>
            </w:r>
            <w:r w:rsidR="00350B0F" w:rsidRPr="0067048D">
              <w:rPr>
                <w:sz w:val="20"/>
                <w:szCs w:val="20"/>
              </w:rPr>
              <w:t xml:space="preserve"> </w:t>
            </w:r>
            <w:r w:rsidR="00DC2CEA" w:rsidRPr="0067048D">
              <w:rPr>
                <w:sz w:val="20"/>
                <w:szCs w:val="20"/>
              </w:rPr>
              <w:t xml:space="preserve">ir </w:t>
            </w:r>
            <w:r w:rsidR="00350B0F" w:rsidRPr="0067048D">
              <w:rPr>
                <w:sz w:val="20"/>
                <w:szCs w:val="20"/>
              </w:rPr>
              <w:t>funkcionavim</w:t>
            </w:r>
            <w:r w:rsidR="00DC2CEA" w:rsidRPr="0067048D">
              <w:rPr>
                <w:sz w:val="20"/>
                <w:szCs w:val="20"/>
              </w:rPr>
              <w:t>o principus</w:t>
            </w:r>
            <w:r w:rsidR="00350B0F" w:rsidRPr="0067048D">
              <w:rPr>
                <w:sz w:val="20"/>
                <w:szCs w:val="20"/>
              </w:rPr>
              <w:t xml:space="preserve">, </w:t>
            </w:r>
            <w:r w:rsidRPr="0067048D">
              <w:rPr>
                <w:sz w:val="20"/>
                <w:szCs w:val="20"/>
              </w:rPr>
              <w:t>kritiškai vertinti, remiantis valstybės valdymo ir administravimo mokslo teorijomis ir demokratinėmis vertybėmis,</w:t>
            </w:r>
            <w:r w:rsidR="00DC2CEA" w:rsidRPr="0067048D">
              <w:rPr>
                <w:sz w:val="20"/>
                <w:szCs w:val="20"/>
              </w:rPr>
              <w:t xml:space="preserve"> rengti viešojo sektoriaus projektus ir atlikti ekonominę analizę bei </w:t>
            </w:r>
            <w:r w:rsidRPr="0067048D">
              <w:rPr>
                <w:sz w:val="20"/>
                <w:szCs w:val="20"/>
              </w:rPr>
              <w:t>tirti viešojo administravimo veiklas nuolat kintančioje politinėje, teisinėje, socialinėje ir ekonominėje aplinkoje, gebėjimų pagrįsti atliktų tyrimų rezultatus</w:t>
            </w:r>
            <w:r w:rsidR="00DC2CEA" w:rsidRPr="0067048D">
              <w:rPr>
                <w:sz w:val="20"/>
                <w:szCs w:val="20"/>
              </w:rPr>
              <w:t xml:space="preserve"> ir</w:t>
            </w:r>
            <w:r w:rsidRPr="0067048D">
              <w:rPr>
                <w:sz w:val="20"/>
                <w:szCs w:val="20"/>
              </w:rPr>
              <w:t xml:space="preserve"> vertinti jų pritaikomumą</w:t>
            </w:r>
            <w:r w:rsidR="00DC2CEA" w:rsidRPr="0067048D">
              <w:rPr>
                <w:sz w:val="20"/>
                <w:szCs w:val="20"/>
              </w:rPr>
              <w:t>.</w:t>
            </w:r>
          </w:p>
        </w:tc>
      </w:tr>
      <w:tr w:rsidR="00B47719" w:rsidRPr="00F64EC3" w14:paraId="1CC38A46" w14:textId="77777777" w:rsidTr="00C64526">
        <w:tc>
          <w:tcPr>
            <w:tcW w:w="2903" w:type="dxa"/>
          </w:tcPr>
          <w:p w14:paraId="52A4B921" w14:textId="77777777" w:rsidR="00B47719" w:rsidRPr="00C92FE9" w:rsidRDefault="00B47719" w:rsidP="00E741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 xml:space="preserve">Priėmimo </w:t>
            </w:r>
            <w:r w:rsidR="00E7416B" w:rsidRPr="00C92FE9">
              <w:rPr>
                <w:rFonts w:ascii="Times New Roman" w:hAnsi="Times New Roman"/>
                <w:b/>
                <w:sz w:val="20"/>
                <w:szCs w:val="20"/>
              </w:rPr>
              <w:t>sąlygos</w:t>
            </w:r>
          </w:p>
        </w:tc>
        <w:tc>
          <w:tcPr>
            <w:tcW w:w="7020" w:type="dxa"/>
            <w:gridSpan w:val="6"/>
            <w:shd w:val="clear" w:color="auto" w:fill="auto"/>
          </w:tcPr>
          <w:p w14:paraId="145F0806" w14:textId="7E69B0C1" w:rsidR="00891099" w:rsidRPr="0053737A" w:rsidRDefault="0053737A" w:rsidP="00670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Priimami asmenys, baigę </w:t>
            </w:r>
            <w:r w:rsidR="0067048D">
              <w:rPr>
                <w:sz w:val="20"/>
                <w:szCs w:val="20"/>
              </w:rPr>
              <w:t xml:space="preserve">kolegines </w:t>
            </w:r>
            <w:r w:rsidRPr="0015598B">
              <w:rPr>
                <w:sz w:val="20"/>
                <w:szCs w:val="20"/>
              </w:rPr>
              <w:t>verslo ir viešosios vadybos studijų krypčių grup</w:t>
            </w:r>
            <w:r>
              <w:rPr>
                <w:sz w:val="20"/>
                <w:szCs w:val="20"/>
              </w:rPr>
              <w:t>ės</w:t>
            </w:r>
            <w:r w:rsidRPr="0015598B">
              <w:rPr>
                <w:sz w:val="20"/>
                <w:szCs w:val="20"/>
              </w:rPr>
              <w:t xml:space="preserve"> bei teisės, edukologijos, </w:t>
            </w:r>
            <w:r>
              <w:rPr>
                <w:sz w:val="20"/>
                <w:szCs w:val="20"/>
              </w:rPr>
              <w:t xml:space="preserve">pedagogikos, </w:t>
            </w:r>
            <w:r w:rsidRPr="0015598B">
              <w:rPr>
                <w:sz w:val="20"/>
                <w:szCs w:val="20"/>
              </w:rPr>
              <w:t xml:space="preserve">ekonomikos, politikos mokslų, sociologijos, socialinio darbo, komunikacijos, visuomenės saugumo studijų krypčių </w:t>
            </w:r>
            <w:r w:rsidR="0067048D">
              <w:rPr>
                <w:sz w:val="20"/>
                <w:szCs w:val="20"/>
              </w:rPr>
              <w:t>studijas ir įgiję profesinio bakalauro laipsnį.</w:t>
            </w:r>
          </w:p>
        </w:tc>
      </w:tr>
      <w:tr w:rsidR="00F35BDA" w:rsidRPr="00F64EC3" w14:paraId="5C0A0B33" w14:textId="77777777" w:rsidTr="003D7687">
        <w:tc>
          <w:tcPr>
            <w:tcW w:w="2903" w:type="dxa"/>
          </w:tcPr>
          <w:p w14:paraId="149C6CD5" w14:textId="77777777" w:rsidR="00F35BDA" w:rsidRPr="00C92FE9" w:rsidRDefault="00F35BDA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>Studijų apimtis kreditais</w:t>
            </w:r>
          </w:p>
        </w:tc>
        <w:tc>
          <w:tcPr>
            <w:tcW w:w="7020" w:type="dxa"/>
            <w:gridSpan w:val="6"/>
          </w:tcPr>
          <w:p w14:paraId="5007F335" w14:textId="77777777" w:rsidR="00F35BDA" w:rsidRPr="009A4635" w:rsidRDefault="00F35BDA" w:rsidP="0067048D">
            <w:pPr>
              <w:spacing w:after="0" w:line="240" w:lineRule="auto"/>
              <w:rPr>
                <w:sz w:val="20"/>
                <w:szCs w:val="20"/>
              </w:rPr>
            </w:pPr>
            <w:r w:rsidRPr="009A4635">
              <w:rPr>
                <w:sz w:val="20"/>
                <w:szCs w:val="20"/>
              </w:rPr>
              <w:t>30 kreditų</w:t>
            </w:r>
          </w:p>
        </w:tc>
      </w:tr>
      <w:tr w:rsidR="00F35BDA" w:rsidRPr="00F64EC3" w14:paraId="5ADD836A" w14:textId="77777777" w:rsidTr="003D7687">
        <w:tc>
          <w:tcPr>
            <w:tcW w:w="2903" w:type="dxa"/>
          </w:tcPr>
          <w:p w14:paraId="085C804B" w14:textId="77777777" w:rsidR="00F35BDA" w:rsidRPr="00C92FE9" w:rsidRDefault="00F35BDA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>Studijų trukmė</w:t>
            </w:r>
          </w:p>
        </w:tc>
        <w:tc>
          <w:tcPr>
            <w:tcW w:w="7020" w:type="dxa"/>
            <w:gridSpan w:val="6"/>
          </w:tcPr>
          <w:p w14:paraId="5FB26BC6" w14:textId="77777777" w:rsidR="00F35BDA" w:rsidRPr="009A4635" w:rsidRDefault="00F35BDA" w:rsidP="0067048D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semestras (pavasario)</w:t>
            </w:r>
          </w:p>
        </w:tc>
      </w:tr>
      <w:tr w:rsidR="00F35BDA" w:rsidRPr="00F64EC3" w14:paraId="22853E88" w14:textId="77777777" w:rsidTr="003D7687">
        <w:tc>
          <w:tcPr>
            <w:tcW w:w="2903" w:type="dxa"/>
          </w:tcPr>
          <w:p w14:paraId="7F075657" w14:textId="77777777" w:rsidR="00F35BDA" w:rsidRPr="00C92FE9" w:rsidRDefault="00056BD7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Studijų </w:t>
            </w:r>
            <w:r w:rsidR="00F35BDA" w:rsidRPr="00C92FE9">
              <w:rPr>
                <w:rFonts w:ascii="Times New Roman" w:hAnsi="Times New Roman"/>
                <w:b/>
                <w:sz w:val="20"/>
                <w:szCs w:val="20"/>
              </w:rPr>
              <w:t>kaina</w:t>
            </w:r>
          </w:p>
        </w:tc>
        <w:tc>
          <w:tcPr>
            <w:tcW w:w="7020" w:type="dxa"/>
            <w:gridSpan w:val="6"/>
          </w:tcPr>
          <w:p w14:paraId="578849D4" w14:textId="77777777" w:rsidR="00F35BDA" w:rsidRPr="0067048D" w:rsidRDefault="00A60EE9" w:rsidP="0067048D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048D">
              <w:rPr>
                <w:rFonts w:ascii="Times New Roman" w:hAnsi="Times New Roman"/>
                <w:sz w:val="20"/>
                <w:szCs w:val="20"/>
              </w:rPr>
              <w:t>1000</w:t>
            </w:r>
            <w:r w:rsidR="00687852" w:rsidRPr="00670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BDA" w:rsidRPr="0067048D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B47719" w:rsidRPr="00F64EC3" w14:paraId="6E6A8F22" w14:textId="77777777" w:rsidTr="00BE75CB">
        <w:tc>
          <w:tcPr>
            <w:tcW w:w="2903" w:type="dxa"/>
          </w:tcPr>
          <w:p w14:paraId="6CBCAC30" w14:textId="77777777" w:rsidR="00B47719" w:rsidRPr="00C92FE9" w:rsidRDefault="00B47719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>Išduodamas dokumentas</w:t>
            </w:r>
          </w:p>
        </w:tc>
        <w:tc>
          <w:tcPr>
            <w:tcW w:w="7020" w:type="dxa"/>
            <w:gridSpan w:val="6"/>
          </w:tcPr>
          <w:p w14:paraId="1D26A3E7" w14:textId="77777777" w:rsidR="00B47719" w:rsidRPr="005D016E" w:rsidRDefault="00C83D0A" w:rsidP="0067048D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016E">
              <w:rPr>
                <w:rFonts w:ascii="Times New Roman" w:hAnsi="Times New Roman"/>
                <w:sz w:val="20"/>
                <w:szCs w:val="20"/>
              </w:rPr>
              <w:t>Papildomųjų studijų baigimo pažymėjimas</w:t>
            </w:r>
          </w:p>
        </w:tc>
      </w:tr>
      <w:tr w:rsidR="00B47719" w:rsidRPr="00F64EC3" w14:paraId="08E3FFD3" w14:textId="77777777" w:rsidTr="00BE75CB">
        <w:tc>
          <w:tcPr>
            <w:tcW w:w="2903" w:type="dxa"/>
          </w:tcPr>
          <w:p w14:paraId="090210BA" w14:textId="77777777" w:rsidR="00B47719" w:rsidRPr="00C92FE9" w:rsidRDefault="00CC3DF1" w:rsidP="0055615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FE9">
              <w:rPr>
                <w:rFonts w:ascii="Times New Roman" w:hAnsi="Times New Roman"/>
                <w:b/>
                <w:sz w:val="20"/>
                <w:szCs w:val="20"/>
              </w:rPr>
              <w:t xml:space="preserve">Tolimesnių </w:t>
            </w:r>
            <w:r w:rsidR="00B47719" w:rsidRPr="00C92FE9">
              <w:rPr>
                <w:rFonts w:ascii="Times New Roman" w:hAnsi="Times New Roman"/>
                <w:b/>
                <w:sz w:val="20"/>
                <w:szCs w:val="20"/>
              </w:rPr>
              <w:t>studijų galimybė</w:t>
            </w:r>
          </w:p>
        </w:tc>
        <w:tc>
          <w:tcPr>
            <w:tcW w:w="7020" w:type="dxa"/>
            <w:gridSpan w:val="6"/>
          </w:tcPr>
          <w:p w14:paraId="2F486F56" w14:textId="7870E25A" w:rsidR="00891099" w:rsidRPr="0067048D" w:rsidRDefault="007D0F75" w:rsidP="0067048D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Galimybė stoti į </w:t>
            </w:r>
            <w:r w:rsidR="007E415E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Šiaulių akademijos</w:t>
            </w:r>
            <w:r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123C01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Viešojo valdymo, Vadybos, Ekonomikos </w:t>
            </w:r>
            <w:r w:rsidR="002C4A87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magistrantūros</w:t>
            </w:r>
            <w:r w:rsidR="00547A0E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studijų</w:t>
            </w:r>
            <w:r w:rsidR="0052544F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7B4F35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program</w:t>
            </w:r>
            <w:r w:rsidR="006B3E1E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as</w:t>
            </w:r>
            <w:r w:rsidR="005D1398" w:rsidRPr="0067048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</w:tr>
      <w:tr w:rsidR="00EE2DCB" w:rsidRPr="00F64EC3" w14:paraId="1FBFEC17" w14:textId="77777777" w:rsidTr="00823496">
        <w:tc>
          <w:tcPr>
            <w:tcW w:w="9923" w:type="dxa"/>
            <w:gridSpan w:val="7"/>
          </w:tcPr>
          <w:p w14:paraId="2DDA035E" w14:textId="77777777" w:rsidR="00EE2DCB" w:rsidRPr="00547A0E" w:rsidRDefault="00EE2DCB" w:rsidP="00547A0E">
            <w:pPr>
              <w:spacing w:after="0" w:line="240" w:lineRule="auto"/>
              <w:ind w:left="-62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EE2DCB" w:rsidRPr="00D41D72" w14:paraId="775D53C3" w14:textId="77777777" w:rsidTr="0067048D">
        <w:tblPrEx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6932" w:type="dxa"/>
            <w:gridSpan w:val="3"/>
            <w:vMerge w:val="restart"/>
            <w:shd w:val="clear" w:color="auto" w:fill="F2F2F2"/>
            <w:vAlign w:val="center"/>
          </w:tcPr>
          <w:p w14:paraId="0BC753C6" w14:textId="4A934369" w:rsidR="00EE2DCB" w:rsidRPr="00C92FE9" w:rsidRDefault="00EE2DCB" w:rsidP="0067048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1B055D">
              <w:rPr>
                <w:b/>
                <w:sz w:val="20"/>
                <w:szCs w:val="20"/>
              </w:rPr>
              <w:t>Studijų dalykai (moduliai)</w:t>
            </w:r>
          </w:p>
        </w:tc>
        <w:tc>
          <w:tcPr>
            <w:tcW w:w="689" w:type="dxa"/>
            <w:vMerge w:val="restart"/>
            <w:shd w:val="clear" w:color="auto" w:fill="F2F2F2"/>
            <w:textDirection w:val="btLr"/>
            <w:vAlign w:val="center"/>
          </w:tcPr>
          <w:p w14:paraId="78E58DBF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Kreditai</w:t>
            </w:r>
          </w:p>
        </w:tc>
        <w:tc>
          <w:tcPr>
            <w:tcW w:w="914" w:type="dxa"/>
            <w:vMerge w:val="restart"/>
            <w:shd w:val="clear" w:color="auto" w:fill="F2F2F2"/>
            <w:textDirection w:val="btLr"/>
            <w:vAlign w:val="center"/>
          </w:tcPr>
          <w:p w14:paraId="197BC8C8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Visas klausytojo darbo krūvis</w:t>
            </w:r>
          </w:p>
        </w:tc>
        <w:tc>
          <w:tcPr>
            <w:tcW w:w="760" w:type="dxa"/>
            <w:vMerge w:val="restart"/>
            <w:shd w:val="clear" w:color="auto" w:fill="F2F2F2"/>
            <w:textDirection w:val="btLr"/>
            <w:vAlign w:val="center"/>
          </w:tcPr>
          <w:p w14:paraId="3CD265D1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Kontaktinis darbas</w:t>
            </w:r>
          </w:p>
        </w:tc>
        <w:tc>
          <w:tcPr>
            <w:tcW w:w="628" w:type="dxa"/>
            <w:vMerge w:val="restart"/>
            <w:shd w:val="clear" w:color="auto" w:fill="F2F2F2"/>
            <w:textDirection w:val="btLr"/>
            <w:vAlign w:val="center"/>
          </w:tcPr>
          <w:p w14:paraId="6E98CF80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Savarankiškas darbas</w:t>
            </w:r>
          </w:p>
        </w:tc>
      </w:tr>
      <w:tr w:rsidR="00EE2DCB" w:rsidRPr="00D41D72" w14:paraId="47CB505F" w14:textId="77777777" w:rsidTr="00BE75CB">
        <w:tblPrEx>
          <w:tblLook w:val="01E0" w:firstRow="1" w:lastRow="1" w:firstColumn="1" w:lastColumn="1" w:noHBand="0" w:noVBand="0"/>
        </w:tblPrEx>
        <w:trPr>
          <w:cantSplit/>
          <w:trHeight w:val="778"/>
        </w:trPr>
        <w:tc>
          <w:tcPr>
            <w:tcW w:w="69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636031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6E177C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87C82A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16BE1D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88239E" w14:textId="77777777" w:rsidR="00EE2DCB" w:rsidRPr="001B055D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2DCB" w:rsidRPr="00D41D72" w14:paraId="7316A130" w14:textId="77777777" w:rsidTr="00BE75CB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32" w:type="dxa"/>
            <w:gridSpan w:val="3"/>
            <w:shd w:val="clear" w:color="auto" w:fill="F2F2F2"/>
            <w:vAlign w:val="center"/>
          </w:tcPr>
          <w:p w14:paraId="493752F4" w14:textId="77777777" w:rsidR="00EE2DCB" w:rsidRPr="001B055D" w:rsidRDefault="00EE2DCB" w:rsidP="00EE2D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Privalomieji dalykai</w:t>
            </w:r>
          </w:p>
        </w:tc>
        <w:tc>
          <w:tcPr>
            <w:tcW w:w="689" w:type="dxa"/>
            <w:shd w:val="clear" w:color="auto" w:fill="F2F2F2"/>
            <w:vAlign w:val="center"/>
          </w:tcPr>
          <w:p w14:paraId="6A7648C8" w14:textId="77777777" w:rsidR="00EE2DCB" w:rsidRPr="001839A2" w:rsidRDefault="00EE2DCB" w:rsidP="00EE2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4" w:type="dxa"/>
            <w:shd w:val="clear" w:color="auto" w:fill="F2F2F2"/>
            <w:vAlign w:val="center"/>
          </w:tcPr>
          <w:p w14:paraId="56D3214F" w14:textId="77777777" w:rsidR="00EE2DCB" w:rsidRPr="001839A2" w:rsidRDefault="001839A2" w:rsidP="00FB59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7CB1A8D0" w14:textId="77777777" w:rsidR="00EE2DCB" w:rsidRPr="001839A2" w:rsidRDefault="00EE2DCB" w:rsidP="001839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18</w:t>
            </w:r>
            <w:r w:rsidR="001839A2" w:rsidRPr="00183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2F2F2"/>
            <w:vAlign w:val="center"/>
          </w:tcPr>
          <w:p w14:paraId="46A640F4" w14:textId="77777777" w:rsidR="00EE2DCB" w:rsidRPr="001839A2" w:rsidRDefault="00EE2DCB" w:rsidP="001839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6</w:t>
            </w:r>
            <w:r w:rsidR="001839A2" w:rsidRPr="001839A2">
              <w:rPr>
                <w:b/>
                <w:sz w:val="20"/>
                <w:szCs w:val="20"/>
              </w:rPr>
              <w:t>09</w:t>
            </w:r>
          </w:p>
        </w:tc>
      </w:tr>
      <w:tr w:rsidR="00350B0F" w:rsidRPr="0067048D" w14:paraId="58AC19C9" w14:textId="77777777" w:rsidTr="00BE75C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32" w:type="dxa"/>
            <w:gridSpan w:val="3"/>
            <w:vAlign w:val="center"/>
          </w:tcPr>
          <w:p w14:paraId="46329264" w14:textId="77777777" w:rsidR="00350B0F" w:rsidRPr="0067048D" w:rsidRDefault="00350B0F" w:rsidP="00350B0F">
            <w:pPr>
              <w:spacing w:after="0" w:line="240" w:lineRule="auto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Ekonominė analizė</w:t>
            </w:r>
          </w:p>
        </w:tc>
        <w:tc>
          <w:tcPr>
            <w:tcW w:w="689" w:type="dxa"/>
            <w:vAlign w:val="center"/>
          </w:tcPr>
          <w:p w14:paraId="1D26EC28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center"/>
          </w:tcPr>
          <w:p w14:paraId="793E8E99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vAlign w:val="center"/>
          </w:tcPr>
          <w:p w14:paraId="6FF17C24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28</w:t>
            </w:r>
          </w:p>
        </w:tc>
        <w:tc>
          <w:tcPr>
            <w:tcW w:w="628" w:type="dxa"/>
            <w:vAlign w:val="center"/>
          </w:tcPr>
          <w:p w14:paraId="1E3454F6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102</w:t>
            </w:r>
          </w:p>
        </w:tc>
      </w:tr>
      <w:tr w:rsidR="00350B0F" w:rsidRPr="0067048D" w14:paraId="55221B88" w14:textId="77777777" w:rsidTr="00BE75C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32" w:type="dxa"/>
            <w:gridSpan w:val="3"/>
            <w:vAlign w:val="center"/>
          </w:tcPr>
          <w:p w14:paraId="5D662B9B" w14:textId="77777777" w:rsidR="00350B0F" w:rsidRPr="0067048D" w:rsidRDefault="00350B0F" w:rsidP="00350B0F">
            <w:pPr>
              <w:spacing w:after="0" w:line="240" w:lineRule="auto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Projektų rengimas</w:t>
            </w:r>
          </w:p>
        </w:tc>
        <w:tc>
          <w:tcPr>
            <w:tcW w:w="689" w:type="dxa"/>
            <w:vAlign w:val="center"/>
          </w:tcPr>
          <w:p w14:paraId="33A3AF41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center"/>
          </w:tcPr>
          <w:p w14:paraId="29871134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vAlign w:val="center"/>
          </w:tcPr>
          <w:p w14:paraId="3DABC165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28</w:t>
            </w:r>
          </w:p>
        </w:tc>
        <w:tc>
          <w:tcPr>
            <w:tcW w:w="628" w:type="dxa"/>
            <w:vAlign w:val="center"/>
          </w:tcPr>
          <w:p w14:paraId="012720CD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102</w:t>
            </w:r>
          </w:p>
        </w:tc>
      </w:tr>
      <w:tr w:rsidR="00350B0F" w:rsidRPr="0067048D" w14:paraId="76177A8E" w14:textId="77777777" w:rsidTr="00BE75C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32" w:type="dxa"/>
            <w:gridSpan w:val="3"/>
            <w:vAlign w:val="center"/>
          </w:tcPr>
          <w:p w14:paraId="1887200E" w14:textId="77777777" w:rsidR="00350B0F" w:rsidRPr="0067048D" w:rsidRDefault="00350B0F" w:rsidP="00350B0F">
            <w:pPr>
              <w:spacing w:after="0" w:line="240" w:lineRule="auto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Viešosios politikos formavimas ir analizė</w:t>
            </w:r>
          </w:p>
        </w:tc>
        <w:tc>
          <w:tcPr>
            <w:tcW w:w="689" w:type="dxa"/>
            <w:vAlign w:val="center"/>
          </w:tcPr>
          <w:p w14:paraId="12E56A64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center"/>
          </w:tcPr>
          <w:p w14:paraId="062F45BD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vAlign w:val="center"/>
          </w:tcPr>
          <w:p w14:paraId="5E931B1B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28</w:t>
            </w:r>
          </w:p>
        </w:tc>
        <w:tc>
          <w:tcPr>
            <w:tcW w:w="628" w:type="dxa"/>
            <w:vAlign w:val="center"/>
          </w:tcPr>
          <w:p w14:paraId="4C83C488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102</w:t>
            </w:r>
          </w:p>
        </w:tc>
      </w:tr>
      <w:tr w:rsidR="00350B0F" w:rsidRPr="0067048D" w14:paraId="6165944A" w14:textId="77777777" w:rsidTr="00BE75CB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932" w:type="dxa"/>
            <w:gridSpan w:val="3"/>
            <w:vAlign w:val="center"/>
          </w:tcPr>
          <w:p w14:paraId="7DC5A207" w14:textId="77777777" w:rsidR="00350B0F" w:rsidRPr="0067048D" w:rsidRDefault="00350B0F" w:rsidP="00350B0F">
            <w:pPr>
              <w:spacing w:after="0" w:line="240" w:lineRule="auto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Teisė</w:t>
            </w:r>
          </w:p>
        </w:tc>
        <w:tc>
          <w:tcPr>
            <w:tcW w:w="689" w:type="dxa"/>
            <w:vAlign w:val="center"/>
          </w:tcPr>
          <w:p w14:paraId="21E5DDE8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14:paraId="0A7ECE66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266</w:t>
            </w:r>
          </w:p>
        </w:tc>
        <w:tc>
          <w:tcPr>
            <w:tcW w:w="760" w:type="dxa"/>
            <w:vAlign w:val="center"/>
          </w:tcPr>
          <w:p w14:paraId="3DC0CC9D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64</w:t>
            </w:r>
          </w:p>
        </w:tc>
        <w:tc>
          <w:tcPr>
            <w:tcW w:w="628" w:type="dxa"/>
            <w:vAlign w:val="center"/>
          </w:tcPr>
          <w:p w14:paraId="2876674C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202</w:t>
            </w:r>
          </w:p>
        </w:tc>
      </w:tr>
      <w:tr w:rsidR="00350B0F" w:rsidRPr="00D41D72" w14:paraId="1A94C1AC" w14:textId="77777777" w:rsidTr="00BE75CB">
        <w:tblPrEx>
          <w:tblLook w:val="01E0" w:firstRow="1" w:lastRow="1" w:firstColumn="1" w:lastColumn="1" w:noHBand="0" w:noVBand="0"/>
        </w:tblPrEx>
        <w:tc>
          <w:tcPr>
            <w:tcW w:w="6932" w:type="dxa"/>
            <w:gridSpan w:val="3"/>
            <w:tcBorders>
              <w:bottom w:val="single" w:sz="4" w:space="0" w:color="auto"/>
            </w:tcBorders>
            <w:vAlign w:val="center"/>
          </w:tcPr>
          <w:p w14:paraId="10F6D83E" w14:textId="77777777" w:rsidR="00350B0F" w:rsidRPr="0067048D" w:rsidRDefault="00350B0F" w:rsidP="00350B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48D">
              <w:rPr>
                <w:rFonts w:ascii="Times New Roman" w:hAnsi="Times New Roman"/>
                <w:sz w:val="20"/>
                <w:szCs w:val="20"/>
              </w:rPr>
              <w:t xml:space="preserve">Valstybės valdymo ir administravimo sistemos 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68D27194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C5C174D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133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3F6CB54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32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DE30DC9" w14:textId="77777777" w:rsidR="00350B0F" w:rsidRPr="0067048D" w:rsidRDefault="00350B0F" w:rsidP="00350B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048D">
              <w:rPr>
                <w:sz w:val="20"/>
                <w:szCs w:val="20"/>
              </w:rPr>
              <w:t>101</w:t>
            </w:r>
          </w:p>
        </w:tc>
      </w:tr>
      <w:tr w:rsidR="00EE2DCB" w:rsidRPr="00D41D72" w14:paraId="3E418752" w14:textId="77777777" w:rsidTr="0067048D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6932" w:type="dxa"/>
            <w:gridSpan w:val="3"/>
            <w:shd w:val="clear" w:color="auto" w:fill="F2F2F2"/>
            <w:vAlign w:val="center"/>
          </w:tcPr>
          <w:p w14:paraId="57D69B4E" w14:textId="77777777" w:rsidR="00EE2DCB" w:rsidRPr="001B055D" w:rsidRDefault="00EE2DCB" w:rsidP="00EE2DC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B055D">
              <w:rPr>
                <w:b/>
                <w:sz w:val="20"/>
                <w:szCs w:val="20"/>
              </w:rPr>
              <w:t>Iš viso programoje</w:t>
            </w:r>
          </w:p>
        </w:tc>
        <w:tc>
          <w:tcPr>
            <w:tcW w:w="689" w:type="dxa"/>
            <w:shd w:val="clear" w:color="auto" w:fill="F2F2F2"/>
            <w:vAlign w:val="center"/>
          </w:tcPr>
          <w:p w14:paraId="5F10E589" w14:textId="77777777" w:rsidR="00EE2DCB" w:rsidRPr="001839A2" w:rsidRDefault="00EE2DCB" w:rsidP="00EE2DCB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4" w:type="dxa"/>
            <w:shd w:val="clear" w:color="auto" w:fill="F2F2F2"/>
            <w:vAlign w:val="center"/>
          </w:tcPr>
          <w:p w14:paraId="2642AFAF" w14:textId="77777777" w:rsidR="00EE2DCB" w:rsidRPr="001839A2" w:rsidRDefault="001839A2" w:rsidP="00FB5911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60" w:type="dxa"/>
            <w:shd w:val="clear" w:color="auto" w:fill="F2F2F2"/>
            <w:vAlign w:val="center"/>
          </w:tcPr>
          <w:p w14:paraId="675A8A2A" w14:textId="77777777" w:rsidR="00EE2DCB" w:rsidRPr="001839A2" w:rsidRDefault="00EE2DCB" w:rsidP="001839A2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18</w:t>
            </w:r>
            <w:r w:rsidR="001839A2" w:rsidRPr="001839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2F2F2"/>
            <w:vAlign w:val="center"/>
          </w:tcPr>
          <w:p w14:paraId="177352F0" w14:textId="77777777" w:rsidR="00EE2DCB" w:rsidRPr="001839A2" w:rsidRDefault="00EE2DCB" w:rsidP="001839A2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  <w:r w:rsidRPr="001839A2">
              <w:rPr>
                <w:b/>
                <w:sz w:val="20"/>
                <w:szCs w:val="20"/>
              </w:rPr>
              <w:t>6</w:t>
            </w:r>
            <w:r w:rsidR="001839A2" w:rsidRPr="001839A2">
              <w:rPr>
                <w:b/>
                <w:sz w:val="20"/>
                <w:szCs w:val="20"/>
              </w:rPr>
              <w:t>09</w:t>
            </w:r>
          </w:p>
        </w:tc>
      </w:tr>
      <w:tr w:rsidR="0067048D" w:rsidRPr="00D41D72" w14:paraId="66F12280" w14:textId="77777777" w:rsidTr="00F322D8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F3FD9" w14:textId="77777777" w:rsidR="0067048D" w:rsidRPr="001839A2" w:rsidRDefault="0067048D" w:rsidP="001839A2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</w:p>
        </w:tc>
      </w:tr>
      <w:tr w:rsidR="007D0F75" w:rsidRPr="007D0F75" w14:paraId="4F31B5DF" w14:textId="77777777" w:rsidTr="00556AD6">
        <w:tc>
          <w:tcPr>
            <w:tcW w:w="9923" w:type="dxa"/>
            <w:gridSpan w:val="7"/>
            <w:shd w:val="clear" w:color="auto" w:fill="F2F2F2"/>
          </w:tcPr>
          <w:p w14:paraId="166C2E1C" w14:textId="77777777" w:rsidR="007D0F75" w:rsidRPr="007D0F75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0F75">
              <w:rPr>
                <w:b/>
                <w:sz w:val="20"/>
                <w:szCs w:val="20"/>
              </w:rPr>
              <w:t>PRIĖMIMO SĄLYGOS</w:t>
            </w:r>
          </w:p>
        </w:tc>
      </w:tr>
      <w:tr w:rsidR="007D0F75" w:rsidRPr="007D0F75" w14:paraId="251A9E5F" w14:textId="77777777" w:rsidTr="00556AD6">
        <w:tc>
          <w:tcPr>
            <w:tcW w:w="2977" w:type="dxa"/>
            <w:gridSpan w:val="2"/>
            <w:shd w:val="clear" w:color="auto" w:fill="auto"/>
          </w:tcPr>
          <w:p w14:paraId="411B13B6" w14:textId="77777777" w:rsidR="007D0F75" w:rsidRPr="004E1D5A" w:rsidRDefault="007D0F75" w:rsidP="00556A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E1D5A">
              <w:rPr>
                <w:b/>
                <w:color w:val="000000"/>
                <w:sz w:val="20"/>
                <w:szCs w:val="20"/>
              </w:rPr>
              <w:t>Dokumentų pateikimo vieta</w:t>
            </w:r>
            <w:r w:rsidR="00212C61" w:rsidRPr="004E1D5A">
              <w:rPr>
                <w:b/>
                <w:color w:val="000000"/>
                <w:sz w:val="20"/>
                <w:szCs w:val="20"/>
              </w:rPr>
              <w:t>, laikas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46D015F1" w14:textId="77777777" w:rsidR="007E415E" w:rsidRPr="0067048D" w:rsidRDefault="007E415E" w:rsidP="007E415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hd w:val="clear" w:color="auto" w:fill="FFFFFF"/>
              </w:rPr>
            </w:pPr>
            <w:r w:rsidRPr="0067048D">
              <w:rPr>
                <w:sz w:val="20"/>
                <w:szCs w:val="20"/>
                <w:shd w:val="clear" w:color="auto" w:fill="FFFFFF"/>
              </w:rPr>
              <w:t xml:space="preserve">Vilniaus universiteto priėmimo į studijas internetinėje stojančiųjų aptarnavimo sistemoje (ISAS): </w:t>
            </w:r>
            <w:hyperlink r:id="rId7" w:tgtFrame="_blank" w:history="1">
              <w:r w:rsidRPr="0067048D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https://is.vu.lt/pls/pst/isas.register</w:t>
              </w:r>
            </w:hyperlink>
          </w:p>
          <w:p w14:paraId="37E69CD0" w14:textId="77777777" w:rsidR="00934DA3" w:rsidRPr="0067048D" w:rsidRDefault="007E415E" w:rsidP="007E41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67048D">
              <w:rPr>
                <w:rStyle w:val="fontstyle01"/>
                <w:rFonts w:ascii="Times New Roman" w:hAnsi="Times New Roman"/>
                <w:color w:val="auto"/>
              </w:rPr>
              <w:t>Gruodžio 1 d. – sausio 24 d. (pavasario semestro studijoms)</w:t>
            </w:r>
          </w:p>
        </w:tc>
      </w:tr>
      <w:tr w:rsidR="00AB6803" w:rsidRPr="007D0F75" w14:paraId="2D143B37" w14:textId="77777777" w:rsidTr="00556AD6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A6EF1" w14:textId="77777777" w:rsidR="00AB6803" w:rsidRPr="007D0F75" w:rsidRDefault="00AB6803" w:rsidP="00AB68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0F75">
              <w:rPr>
                <w:b/>
                <w:sz w:val="20"/>
                <w:szCs w:val="20"/>
              </w:rPr>
              <w:t>Stojimo dokumentų sąrašas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BED185" w14:textId="77777777" w:rsidR="00AB6803" w:rsidRPr="00B4735E" w:rsidRDefault="00AB6803" w:rsidP="00AB68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ISAS pateikiamas prašymas dalyvauti priėmime į papildomąsias studijas bei pateikiama informacija apie asmens duomenis, apie baigtą mokyklą ir turimą diplomą;</w:t>
            </w:r>
          </w:p>
          <w:p w14:paraId="3078971C" w14:textId="77777777" w:rsidR="00AB6803" w:rsidRPr="00B4735E" w:rsidRDefault="00AB6803" w:rsidP="00AB68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ISAS patalpinami šie skenuoti dokumentai:</w:t>
            </w:r>
          </w:p>
          <w:p w14:paraId="1D49E511" w14:textId="77777777" w:rsidR="00AB6803" w:rsidRPr="00B4735E" w:rsidRDefault="00AB6803" w:rsidP="00AB6803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Asmens tapatybę patvirtinantis dokumentas (paso arba asmens tapatybės kortelės);</w:t>
            </w:r>
          </w:p>
          <w:p w14:paraId="36E57320" w14:textId="77777777" w:rsidR="00AB6803" w:rsidRPr="00B4735E" w:rsidRDefault="00AB6803" w:rsidP="00AB6803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Dokumentas, įrodantis pavardės keitimą, jei ne visi pateikti dokumentai yra ta pačia pavarde;</w:t>
            </w:r>
          </w:p>
          <w:p w14:paraId="1B7E6413" w14:textId="77777777" w:rsidR="00AB6803" w:rsidRPr="00B4735E" w:rsidRDefault="00AB6803" w:rsidP="00AB6803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Auštojo mokslo diplomas ir priedėlio (priedo) dokumentai;</w:t>
            </w:r>
          </w:p>
          <w:p w14:paraId="5AD1F163" w14:textId="77777777" w:rsidR="00AB6803" w:rsidRPr="00B4735E" w:rsidRDefault="00AB6803" w:rsidP="00AB6803">
            <w:pPr>
              <w:numPr>
                <w:ilvl w:val="1"/>
                <w:numId w:val="1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Stojamosios įmokos kvitas (kopija).</w:t>
            </w:r>
          </w:p>
          <w:p w14:paraId="600CE2DD" w14:textId="77777777" w:rsidR="00AB6803" w:rsidRDefault="00AB6803" w:rsidP="00AB6803">
            <w:pPr>
              <w:spacing w:after="0" w:line="240" w:lineRule="auto"/>
              <w:rPr>
                <w:sz w:val="20"/>
                <w:szCs w:val="20"/>
              </w:rPr>
            </w:pPr>
            <w:r w:rsidRPr="00B4735E">
              <w:rPr>
                <w:sz w:val="20"/>
                <w:szCs w:val="20"/>
              </w:rPr>
              <w:t>Jei pateikta informacija atitinka stojančiajam keliamus reikalavimus, stojantysis kviečiamas studijuoti papildomosiose studijose ir su juo bus sudaroma studijų sutartis.</w:t>
            </w:r>
          </w:p>
          <w:p w14:paraId="43263D8E" w14:textId="3FBD665D" w:rsidR="00DB0D7A" w:rsidRPr="00B4735E" w:rsidRDefault="00DB0D7A" w:rsidP="00AB680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7D0F75" w:rsidRPr="007D0F75" w14:paraId="6C327DA6" w14:textId="77777777" w:rsidTr="00556AD6">
        <w:tc>
          <w:tcPr>
            <w:tcW w:w="9923" w:type="dxa"/>
            <w:gridSpan w:val="7"/>
            <w:shd w:val="clear" w:color="auto" w:fill="F2F2F2"/>
          </w:tcPr>
          <w:p w14:paraId="7C308385" w14:textId="77777777" w:rsidR="007D0F75" w:rsidRPr="007D0F75" w:rsidRDefault="007D0F75" w:rsidP="00556A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7D0F75">
              <w:rPr>
                <w:rFonts w:eastAsia="Times New Roman"/>
                <w:b/>
                <w:sz w:val="20"/>
                <w:szCs w:val="20"/>
                <w:lang w:eastAsia="lt-LT"/>
              </w:rPr>
              <w:lastRenderedPageBreak/>
              <w:t>PAPILDOMA INFORMACIJA</w:t>
            </w:r>
          </w:p>
        </w:tc>
      </w:tr>
      <w:tr w:rsidR="007D0F75" w:rsidRPr="007D0F75" w14:paraId="0631CAE7" w14:textId="77777777" w:rsidTr="00556AD6">
        <w:tc>
          <w:tcPr>
            <w:tcW w:w="2977" w:type="dxa"/>
            <w:gridSpan w:val="2"/>
            <w:shd w:val="clear" w:color="auto" w:fill="auto"/>
          </w:tcPr>
          <w:p w14:paraId="680B3EB7" w14:textId="77777777" w:rsidR="007D0F75" w:rsidRPr="007D0F75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0F75">
              <w:rPr>
                <w:b/>
                <w:sz w:val="20"/>
                <w:szCs w:val="20"/>
              </w:rPr>
              <w:t>Kontaktai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1271E499" w14:textId="77777777" w:rsidR="007E415E" w:rsidRPr="002D02A1" w:rsidRDefault="00DB0D7A" w:rsidP="007E415E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hyperlink r:id="rId8" w:history="1">
              <w:r w:rsidR="007E415E" w:rsidRPr="00965B60">
                <w:rPr>
                  <w:rStyle w:val="Hyperlink"/>
                  <w:sz w:val="20"/>
                  <w:szCs w:val="20"/>
                </w:rPr>
                <w:t>studijuok</w:t>
              </w:r>
              <w:r w:rsidR="007E415E" w:rsidRPr="002D02A1">
                <w:rPr>
                  <w:rStyle w:val="Hyperlink"/>
                  <w:sz w:val="20"/>
                  <w:szCs w:val="20"/>
                  <w:lang w:val="es-ES"/>
                </w:rPr>
                <w:t>@sa.vu.lt</w:t>
              </w:r>
            </w:hyperlink>
          </w:p>
          <w:p w14:paraId="365B8D8F" w14:textId="77777777" w:rsidR="007E415E" w:rsidRPr="0048630A" w:rsidRDefault="00DB0D7A" w:rsidP="007E415E">
            <w:pPr>
              <w:spacing w:after="0" w:line="240" w:lineRule="auto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E415E" w:rsidRPr="00255DEE">
                <w:rPr>
                  <w:rStyle w:val="Hyperlink"/>
                  <w:sz w:val="20"/>
                  <w:szCs w:val="20"/>
                </w:rPr>
                <w:t>vita.jukneviciene@sa.vu.lt</w:t>
              </w:r>
            </w:hyperlink>
            <w:r w:rsidR="007E415E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7E415E" w:rsidRPr="0048630A">
              <w:rPr>
                <w:rStyle w:val="Hyperlink"/>
                <w:color w:val="auto"/>
                <w:sz w:val="20"/>
                <w:szCs w:val="20"/>
                <w:u w:val="none"/>
              </w:rPr>
              <w:t>(dėl papildomųjų studijų programos turinio)</w:t>
            </w:r>
          </w:p>
          <w:p w14:paraId="715287D4" w14:textId="77777777" w:rsidR="007D0F75" w:rsidRPr="001640CD" w:rsidRDefault="007E415E" w:rsidP="007E415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8 41 595755</w:t>
            </w:r>
          </w:p>
        </w:tc>
      </w:tr>
      <w:tr w:rsidR="007D0F75" w:rsidRPr="007D0F75" w14:paraId="462A1938" w14:textId="77777777" w:rsidTr="00556AD6">
        <w:tc>
          <w:tcPr>
            <w:tcW w:w="2977" w:type="dxa"/>
            <w:gridSpan w:val="2"/>
            <w:shd w:val="clear" w:color="auto" w:fill="auto"/>
          </w:tcPr>
          <w:p w14:paraId="3F41AF33" w14:textId="77777777" w:rsidR="007D0F75" w:rsidRPr="007D0F75" w:rsidRDefault="007D0F75" w:rsidP="00556A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0F75">
              <w:rPr>
                <w:b/>
                <w:sz w:val="20"/>
                <w:szCs w:val="20"/>
              </w:rPr>
              <w:t>Kita papildoma informacija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5EB029B" w14:textId="77777777" w:rsidR="007E415E" w:rsidRDefault="007E415E" w:rsidP="007E41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F04DD">
              <w:rPr>
                <w:sz w:val="20"/>
                <w:szCs w:val="20"/>
              </w:rPr>
              <w:t>Daugiau informacijos apie papildomųjų studijų programą rasite čia:</w:t>
            </w:r>
            <w:r>
              <w:t xml:space="preserve"> </w:t>
            </w:r>
            <w:hyperlink r:id="rId10" w:history="1">
              <w:r w:rsidRPr="00965B60">
                <w:rPr>
                  <w:rStyle w:val="Hyperlink"/>
                  <w:sz w:val="20"/>
                  <w:szCs w:val="20"/>
                </w:rPr>
                <w:t>https://www.sa.vu.lt/stojantiesiems/studijos-kolegiju-ir-kitu-universitetu-absolventams/papildomosios-studijos</w:t>
              </w:r>
            </w:hyperlink>
          </w:p>
          <w:p w14:paraId="33CFCE4C" w14:textId="77777777" w:rsidR="007D0F75" w:rsidRPr="002D02A1" w:rsidRDefault="007E415E" w:rsidP="007E415E">
            <w:pPr>
              <w:spacing w:after="0" w:line="240" w:lineRule="auto"/>
              <w:contextualSpacing/>
              <w:jc w:val="both"/>
              <w:rPr>
                <w:sz w:val="20"/>
                <w:szCs w:val="20"/>
                <w:shd w:val="clear" w:color="auto" w:fill="FFFFFF"/>
                <w:lang w:val="es-ES"/>
              </w:rPr>
            </w:pPr>
            <w:r w:rsidRPr="00912FAE">
              <w:rPr>
                <w:sz w:val="20"/>
                <w:szCs w:val="20"/>
              </w:rPr>
              <w:t xml:space="preserve">arba </w:t>
            </w:r>
            <w:hyperlink r:id="rId11" w:anchor="siauliu-akademija" w:history="1">
              <w:r w:rsidRPr="00965B60">
                <w:rPr>
                  <w:rStyle w:val="Hyperlink"/>
                  <w:sz w:val="20"/>
                  <w:szCs w:val="20"/>
                </w:rPr>
                <w:t>https://www.vu.lt/studijos/stojantiesiems/papildomosios-ir-pokolegines-studijos#siauliu-akademija</w:t>
              </w:r>
            </w:hyperlink>
          </w:p>
        </w:tc>
      </w:tr>
    </w:tbl>
    <w:p w14:paraId="58164A7D" w14:textId="77777777" w:rsidR="00F64EC3" w:rsidRPr="00F64EC3" w:rsidRDefault="00F64EC3" w:rsidP="00547A0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64EC3" w:rsidRPr="00F64EC3" w:rsidSect="0067048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773"/>
    <w:multiLevelType w:val="hybridMultilevel"/>
    <w:tmpl w:val="828CC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458"/>
    <w:multiLevelType w:val="hybridMultilevel"/>
    <w:tmpl w:val="85FCB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163"/>
    <w:multiLevelType w:val="hybridMultilevel"/>
    <w:tmpl w:val="6DE2EA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A9E"/>
    <w:multiLevelType w:val="multilevel"/>
    <w:tmpl w:val="64F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F442F"/>
    <w:multiLevelType w:val="hybridMultilevel"/>
    <w:tmpl w:val="B1A461D0"/>
    <w:lvl w:ilvl="0" w:tplc="40C2B8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2EB288A"/>
    <w:multiLevelType w:val="hybridMultilevel"/>
    <w:tmpl w:val="E6A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476"/>
    <w:multiLevelType w:val="hybridMultilevel"/>
    <w:tmpl w:val="D9EEFD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1A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17F1E"/>
    <w:multiLevelType w:val="hybridMultilevel"/>
    <w:tmpl w:val="0F7686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3E7"/>
    <w:multiLevelType w:val="multilevel"/>
    <w:tmpl w:val="10C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30FCF"/>
    <w:multiLevelType w:val="hybridMultilevel"/>
    <w:tmpl w:val="3B6274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363"/>
    <w:multiLevelType w:val="hybridMultilevel"/>
    <w:tmpl w:val="CDA0EE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5341"/>
    <w:multiLevelType w:val="hybridMultilevel"/>
    <w:tmpl w:val="405805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69"/>
    <w:rsid w:val="00015683"/>
    <w:rsid w:val="00027002"/>
    <w:rsid w:val="00035CFC"/>
    <w:rsid w:val="00056BD7"/>
    <w:rsid w:val="00064EE0"/>
    <w:rsid w:val="00086E5C"/>
    <w:rsid w:val="00090B9E"/>
    <w:rsid w:val="000B3EB7"/>
    <w:rsid w:val="000B43C5"/>
    <w:rsid w:val="000D3866"/>
    <w:rsid w:val="000E33AD"/>
    <w:rsid w:val="00110B31"/>
    <w:rsid w:val="00113459"/>
    <w:rsid w:val="00123C01"/>
    <w:rsid w:val="00132835"/>
    <w:rsid w:val="00146454"/>
    <w:rsid w:val="0015598B"/>
    <w:rsid w:val="001640CD"/>
    <w:rsid w:val="001839A2"/>
    <w:rsid w:val="00184A75"/>
    <w:rsid w:val="0019722C"/>
    <w:rsid w:val="001A1B18"/>
    <w:rsid w:val="001A56CD"/>
    <w:rsid w:val="001B055D"/>
    <w:rsid w:val="001C1282"/>
    <w:rsid w:val="001D5735"/>
    <w:rsid w:val="001D57BC"/>
    <w:rsid w:val="001E4C1A"/>
    <w:rsid w:val="00212C61"/>
    <w:rsid w:val="00221BB7"/>
    <w:rsid w:val="0026163B"/>
    <w:rsid w:val="0026360F"/>
    <w:rsid w:val="00272430"/>
    <w:rsid w:val="00283EB8"/>
    <w:rsid w:val="00290762"/>
    <w:rsid w:val="002921CF"/>
    <w:rsid w:val="002948E9"/>
    <w:rsid w:val="0029704E"/>
    <w:rsid w:val="002B0E58"/>
    <w:rsid w:val="002B2F00"/>
    <w:rsid w:val="002B4487"/>
    <w:rsid w:val="002C006C"/>
    <w:rsid w:val="002C00BC"/>
    <w:rsid w:val="002C4A87"/>
    <w:rsid w:val="002C597A"/>
    <w:rsid w:val="002D02A1"/>
    <w:rsid w:val="002D08EC"/>
    <w:rsid w:val="002D25E1"/>
    <w:rsid w:val="002D524F"/>
    <w:rsid w:val="002D62F9"/>
    <w:rsid w:val="00323295"/>
    <w:rsid w:val="003235E9"/>
    <w:rsid w:val="003403F6"/>
    <w:rsid w:val="00350B0F"/>
    <w:rsid w:val="00360A73"/>
    <w:rsid w:val="0036243C"/>
    <w:rsid w:val="00385993"/>
    <w:rsid w:val="00386BB7"/>
    <w:rsid w:val="003A54EE"/>
    <w:rsid w:val="003A7204"/>
    <w:rsid w:val="003C6603"/>
    <w:rsid w:val="003D7687"/>
    <w:rsid w:val="004042E8"/>
    <w:rsid w:val="0041692B"/>
    <w:rsid w:val="00424A03"/>
    <w:rsid w:val="004400B7"/>
    <w:rsid w:val="0046483E"/>
    <w:rsid w:val="0047509A"/>
    <w:rsid w:val="004B47BA"/>
    <w:rsid w:val="004D45E8"/>
    <w:rsid w:val="004D57D5"/>
    <w:rsid w:val="004D70A7"/>
    <w:rsid w:val="004E12D9"/>
    <w:rsid w:val="004E1D5A"/>
    <w:rsid w:val="004F5084"/>
    <w:rsid w:val="005237D0"/>
    <w:rsid w:val="0052544F"/>
    <w:rsid w:val="0053737A"/>
    <w:rsid w:val="00543E28"/>
    <w:rsid w:val="00547A0E"/>
    <w:rsid w:val="00556152"/>
    <w:rsid w:val="00556AD6"/>
    <w:rsid w:val="005746F0"/>
    <w:rsid w:val="00575700"/>
    <w:rsid w:val="00581360"/>
    <w:rsid w:val="0059263A"/>
    <w:rsid w:val="005A5C35"/>
    <w:rsid w:val="005B2F8E"/>
    <w:rsid w:val="005D016E"/>
    <w:rsid w:val="005D1398"/>
    <w:rsid w:val="005F1384"/>
    <w:rsid w:val="005F348E"/>
    <w:rsid w:val="00611264"/>
    <w:rsid w:val="00621DCD"/>
    <w:rsid w:val="00624E2F"/>
    <w:rsid w:val="0063277B"/>
    <w:rsid w:val="006369CB"/>
    <w:rsid w:val="00637C59"/>
    <w:rsid w:val="006643D2"/>
    <w:rsid w:val="0067048D"/>
    <w:rsid w:val="00686401"/>
    <w:rsid w:val="00687852"/>
    <w:rsid w:val="00695065"/>
    <w:rsid w:val="006A7B10"/>
    <w:rsid w:val="006B3BE8"/>
    <w:rsid w:val="006B3E1E"/>
    <w:rsid w:val="006B4920"/>
    <w:rsid w:val="006E4709"/>
    <w:rsid w:val="006F24D6"/>
    <w:rsid w:val="00720ADE"/>
    <w:rsid w:val="00721F11"/>
    <w:rsid w:val="0072769C"/>
    <w:rsid w:val="0073726A"/>
    <w:rsid w:val="00740572"/>
    <w:rsid w:val="00753421"/>
    <w:rsid w:val="007569F9"/>
    <w:rsid w:val="00761ED2"/>
    <w:rsid w:val="007A259D"/>
    <w:rsid w:val="007B4F35"/>
    <w:rsid w:val="007C03DB"/>
    <w:rsid w:val="007C4D62"/>
    <w:rsid w:val="007C6469"/>
    <w:rsid w:val="007D0F75"/>
    <w:rsid w:val="007E415E"/>
    <w:rsid w:val="00803F9B"/>
    <w:rsid w:val="00823496"/>
    <w:rsid w:val="0082524E"/>
    <w:rsid w:val="00827776"/>
    <w:rsid w:val="00835E2A"/>
    <w:rsid w:val="00861B53"/>
    <w:rsid w:val="008711CF"/>
    <w:rsid w:val="00873EE7"/>
    <w:rsid w:val="008864E9"/>
    <w:rsid w:val="00891099"/>
    <w:rsid w:val="008C5AE9"/>
    <w:rsid w:val="008F0CF8"/>
    <w:rsid w:val="008F2D0A"/>
    <w:rsid w:val="008F55C2"/>
    <w:rsid w:val="00900AE0"/>
    <w:rsid w:val="00904BC3"/>
    <w:rsid w:val="00912644"/>
    <w:rsid w:val="00923CCC"/>
    <w:rsid w:val="0092586A"/>
    <w:rsid w:val="00927904"/>
    <w:rsid w:val="00933EAD"/>
    <w:rsid w:val="00934DA3"/>
    <w:rsid w:val="00955B71"/>
    <w:rsid w:val="00975435"/>
    <w:rsid w:val="009833C3"/>
    <w:rsid w:val="00983DFD"/>
    <w:rsid w:val="009A2811"/>
    <w:rsid w:val="009A4635"/>
    <w:rsid w:val="009E4041"/>
    <w:rsid w:val="009E62EB"/>
    <w:rsid w:val="009E66E7"/>
    <w:rsid w:val="00A00547"/>
    <w:rsid w:val="00A0234C"/>
    <w:rsid w:val="00A20A69"/>
    <w:rsid w:val="00A2631D"/>
    <w:rsid w:val="00A3651F"/>
    <w:rsid w:val="00A366BE"/>
    <w:rsid w:val="00A527A6"/>
    <w:rsid w:val="00A60A2D"/>
    <w:rsid w:val="00A60EE9"/>
    <w:rsid w:val="00A771CE"/>
    <w:rsid w:val="00A83378"/>
    <w:rsid w:val="00A86BDB"/>
    <w:rsid w:val="00A941AC"/>
    <w:rsid w:val="00A946A5"/>
    <w:rsid w:val="00A966E5"/>
    <w:rsid w:val="00AB6803"/>
    <w:rsid w:val="00AC063B"/>
    <w:rsid w:val="00AD1AFA"/>
    <w:rsid w:val="00B33DDB"/>
    <w:rsid w:val="00B4548A"/>
    <w:rsid w:val="00B47719"/>
    <w:rsid w:val="00B6564B"/>
    <w:rsid w:val="00B81A06"/>
    <w:rsid w:val="00B829BD"/>
    <w:rsid w:val="00B865DE"/>
    <w:rsid w:val="00B92978"/>
    <w:rsid w:val="00BB2BF1"/>
    <w:rsid w:val="00BD5617"/>
    <w:rsid w:val="00BE75CB"/>
    <w:rsid w:val="00C03151"/>
    <w:rsid w:val="00C25C69"/>
    <w:rsid w:val="00C30075"/>
    <w:rsid w:val="00C5359F"/>
    <w:rsid w:val="00C537BF"/>
    <w:rsid w:val="00C64526"/>
    <w:rsid w:val="00C67DD2"/>
    <w:rsid w:val="00C73DB7"/>
    <w:rsid w:val="00C83D0A"/>
    <w:rsid w:val="00C91530"/>
    <w:rsid w:val="00C92FE9"/>
    <w:rsid w:val="00CA159E"/>
    <w:rsid w:val="00CC3DF1"/>
    <w:rsid w:val="00CD3402"/>
    <w:rsid w:val="00CF58F6"/>
    <w:rsid w:val="00CF6E3C"/>
    <w:rsid w:val="00D03B89"/>
    <w:rsid w:val="00D25BA7"/>
    <w:rsid w:val="00D41193"/>
    <w:rsid w:val="00D52480"/>
    <w:rsid w:val="00D54CE3"/>
    <w:rsid w:val="00D56562"/>
    <w:rsid w:val="00D71C5D"/>
    <w:rsid w:val="00DA3115"/>
    <w:rsid w:val="00DB0D7A"/>
    <w:rsid w:val="00DB25A4"/>
    <w:rsid w:val="00DB49B3"/>
    <w:rsid w:val="00DC242B"/>
    <w:rsid w:val="00DC2CEA"/>
    <w:rsid w:val="00DD076E"/>
    <w:rsid w:val="00DD6C27"/>
    <w:rsid w:val="00DE1E0F"/>
    <w:rsid w:val="00DF71F8"/>
    <w:rsid w:val="00E30D19"/>
    <w:rsid w:val="00E34097"/>
    <w:rsid w:val="00E47947"/>
    <w:rsid w:val="00E551FE"/>
    <w:rsid w:val="00E7416B"/>
    <w:rsid w:val="00E75E3E"/>
    <w:rsid w:val="00E805C1"/>
    <w:rsid w:val="00E83ED2"/>
    <w:rsid w:val="00E87347"/>
    <w:rsid w:val="00E90B2E"/>
    <w:rsid w:val="00E90D52"/>
    <w:rsid w:val="00E93AB7"/>
    <w:rsid w:val="00E97D69"/>
    <w:rsid w:val="00EA0ED8"/>
    <w:rsid w:val="00EA30F0"/>
    <w:rsid w:val="00EC7472"/>
    <w:rsid w:val="00ED52C1"/>
    <w:rsid w:val="00ED7C80"/>
    <w:rsid w:val="00EE2DCB"/>
    <w:rsid w:val="00EE6021"/>
    <w:rsid w:val="00EF0FBF"/>
    <w:rsid w:val="00EF78F4"/>
    <w:rsid w:val="00F23AB1"/>
    <w:rsid w:val="00F272AF"/>
    <w:rsid w:val="00F32828"/>
    <w:rsid w:val="00F332C7"/>
    <w:rsid w:val="00F35BDA"/>
    <w:rsid w:val="00F376CE"/>
    <w:rsid w:val="00F55074"/>
    <w:rsid w:val="00F64EC3"/>
    <w:rsid w:val="00F65FDA"/>
    <w:rsid w:val="00FB0C8C"/>
    <w:rsid w:val="00FB5911"/>
    <w:rsid w:val="00FB68CF"/>
    <w:rsid w:val="00FC461B"/>
    <w:rsid w:val="00FE41CA"/>
    <w:rsid w:val="00FE5E4D"/>
    <w:rsid w:val="00FF325C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8A43"/>
  <w15:chartTrackingRefBased/>
  <w15:docId w15:val="{81F48333-FAF3-4F69-87EE-63CECA0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6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6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CommentText">
    <w:name w:val="annotation text"/>
    <w:basedOn w:val="Normal"/>
    <w:link w:val="CommentTextChar"/>
    <w:uiPriority w:val="99"/>
    <w:unhideWhenUsed/>
    <w:rsid w:val="00F376C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76CE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376CE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376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76C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376CE"/>
    <w:rPr>
      <w:sz w:val="16"/>
      <w:szCs w:val="16"/>
    </w:rPr>
  </w:style>
  <w:style w:type="character" w:styleId="Strong">
    <w:name w:val="Strong"/>
    <w:uiPriority w:val="22"/>
    <w:qFormat/>
    <w:rsid w:val="00F376CE"/>
    <w:rPr>
      <w:b/>
      <w:bCs/>
    </w:rPr>
  </w:style>
  <w:style w:type="character" w:customStyle="1" w:styleId="apple-converted-space">
    <w:name w:val="apple-converted-space"/>
    <w:basedOn w:val="DefaultParagraphFont"/>
    <w:rsid w:val="00F376CE"/>
  </w:style>
  <w:style w:type="paragraph" w:styleId="BalloonText">
    <w:name w:val="Balloon Text"/>
    <w:basedOn w:val="Normal"/>
    <w:link w:val="BalloonTextChar"/>
    <w:uiPriority w:val="99"/>
    <w:semiHidden/>
    <w:unhideWhenUsed/>
    <w:rsid w:val="00F376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76C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41A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416B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7416B"/>
    <w:rPr>
      <w:rFonts w:cs="Consolas"/>
      <w:sz w:val="22"/>
      <w:szCs w:val="21"/>
      <w:lang w:eastAsia="en-US"/>
    </w:rPr>
  </w:style>
  <w:style w:type="table" w:customStyle="1" w:styleId="Lentelstinklelis1">
    <w:name w:val="Lentelės tinklelis1"/>
    <w:basedOn w:val="TableNormal"/>
    <w:next w:val="TableGrid"/>
    <w:uiPriority w:val="59"/>
    <w:rsid w:val="007D0F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3AB7"/>
    <w:rPr>
      <w:sz w:val="22"/>
      <w:szCs w:val="22"/>
      <w:lang w:eastAsia="en-US"/>
    </w:rPr>
  </w:style>
  <w:style w:type="paragraph" w:customStyle="1" w:styleId="Default">
    <w:name w:val="Default"/>
    <w:rsid w:val="00A966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7E415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uok@sa.vu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s.vu.lt/pls/pst/isas.regist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u.lt/studijos/stojantiesiems/papildomosios-ir-pokolegines-studij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.vu.lt/stojantiesiems/studijos-kolegiju-ir-kitu-universitetu-absolventams/papildomosios-studij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.jukneviciene@sa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CDD1-EB18-4232-9429-355AC18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3463</CharactersWithSpaces>
  <SharedDoc>false</SharedDoc>
  <HLinks>
    <vt:vector size="30" baseType="variant">
      <vt:variant>
        <vt:i4>3080244</vt:i4>
      </vt:variant>
      <vt:variant>
        <vt:i4>15</vt:i4>
      </vt:variant>
      <vt:variant>
        <vt:i4>0</vt:i4>
      </vt:variant>
      <vt:variant>
        <vt:i4>5</vt:i4>
      </vt:variant>
      <vt:variant>
        <vt:lpwstr>https://www.vu.lt/studijos/stojantiesiems/papildomosios-ir-pokolegines-studijos</vt:lpwstr>
      </vt:variant>
      <vt:variant>
        <vt:lpwstr>siauliu-akademija</vt:lpwstr>
      </vt:variant>
      <vt:variant>
        <vt:i4>2818146</vt:i4>
      </vt:variant>
      <vt:variant>
        <vt:i4>12</vt:i4>
      </vt:variant>
      <vt:variant>
        <vt:i4>0</vt:i4>
      </vt:variant>
      <vt:variant>
        <vt:i4>5</vt:i4>
      </vt:variant>
      <vt:variant>
        <vt:lpwstr>https://www.sa.vu.lt/stojantiesiems/studijos-kolegiju-ir-kitu-universitetu-absolventams/papildomosios-studijos</vt:lpwstr>
      </vt:variant>
      <vt:variant>
        <vt:lpwstr/>
      </vt:variant>
      <vt:variant>
        <vt:i4>262193</vt:i4>
      </vt:variant>
      <vt:variant>
        <vt:i4>9</vt:i4>
      </vt:variant>
      <vt:variant>
        <vt:i4>0</vt:i4>
      </vt:variant>
      <vt:variant>
        <vt:i4>5</vt:i4>
      </vt:variant>
      <vt:variant>
        <vt:lpwstr>mailto:vita.jukneviciene@sa.vu.lt</vt:lpwstr>
      </vt:variant>
      <vt:variant>
        <vt:lpwstr/>
      </vt:variant>
      <vt:variant>
        <vt:i4>5701670</vt:i4>
      </vt:variant>
      <vt:variant>
        <vt:i4>6</vt:i4>
      </vt:variant>
      <vt:variant>
        <vt:i4>0</vt:i4>
      </vt:variant>
      <vt:variant>
        <vt:i4>5</vt:i4>
      </vt:variant>
      <vt:variant>
        <vt:lpwstr>mailto:studijuok@sa.vu.lt</vt:lpwstr>
      </vt:variant>
      <vt:variant>
        <vt:lpwstr/>
      </vt:variant>
      <vt:variant>
        <vt:i4>6619181</vt:i4>
      </vt:variant>
      <vt:variant>
        <vt:i4>3</vt:i4>
      </vt:variant>
      <vt:variant>
        <vt:i4>0</vt:i4>
      </vt:variant>
      <vt:variant>
        <vt:i4>5</vt:i4>
      </vt:variant>
      <vt:variant>
        <vt:lpwstr>https://is.vu.lt/pls/pst/isas.register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Komentaras</dc:creator>
  <cp:keywords/>
  <cp:lastModifiedBy>Ugnė Biezumaitė</cp:lastModifiedBy>
  <cp:revision>4</cp:revision>
  <cp:lastPrinted>2016-03-07T14:08:00Z</cp:lastPrinted>
  <dcterms:created xsi:type="dcterms:W3CDTF">2023-03-15T14:47:00Z</dcterms:created>
  <dcterms:modified xsi:type="dcterms:W3CDTF">2023-04-25T12:16:00Z</dcterms:modified>
</cp:coreProperties>
</file>