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C454F5"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C454F5" w:rsidRDefault="007E5C78">
            <w:pPr>
              <w:rPr>
                <w:sz w:val="22"/>
                <w:szCs w:val="22"/>
                <w:lang w:val="lt-LT"/>
              </w:rPr>
            </w:pPr>
            <w:bookmarkStart w:id="0" w:name="_GoBack"/>
            <w:proofErr w:type="spellStart"/>
            <w:r w:rsidRPr="00C454F5">
              <w:rPr>
                <w:sz w:val="22"/>
                <w:szCs w:val="22"/>
                <w:lang w:val="lt-LT"/>
              </w:rPr>
              <w:t>Subject</w:t>
            </w:r>
            <w:proofErr w:type="spellEnd"/>
            <w:r w:rsidRPr="00C454F5">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C454F5" w:rsidRDefault="001727DA">
            <w:pPr>
              <w:rPr>
                <w:sz w:val="22"/>
                <w:szCs w:val="22"/>
                <w:lang w:val="lt-LT"/>
              </w:rPr>
            </w:pPr>
            <w:proofErr w:type="spellStart"/>
            <w:r w:rsidRPr="00C454F5">
              <w:rPr>
                <w:sz w:val="22"/>
                <w:szCs w:val="22"/>
                <w:lang w:val="lt-LT"/>
              </w:rPr>
              <w:t>Field</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study</w:t>
            </w:r>
            <w:proofErr w:type="spellEnd"/>
            <w:r w:rsidRPr="00C454F5">
              <w:rPr>
                <w:sz w:val="22"/>
                <w:szCs w:val="22"/>
                <w:lang w:val="lt-LT"/>
              </w:rPr>
              <w:t xml:space="preserve"> (</w:t>
            </w:r>
            <w:proofErr w:type="spellStart"/>
            <w:r w:rsidRPr="00C454F5">
              <w:rPr>
                <w:sz w:val="22"/>
                <w:szCs w:val="22"/>
                <w:lang w:val="lt-LT"/>
              </w:rPr>
              <w:t>branch</w:t>
            </w:r>
            <w:proofErr w:type="spellEnd"/>
            <w:r w:rsidRPr="00C454F5">
              <w:rPr>
                <w:sz w:val="22"/>
                <w:szCs w:val="22"/>
                <w:lang w:val="lt-LT"/>
              </w:rPr>
              <w:t xml:space="preserve">) </w:t>
            </w:r>
            <w:proofErr w:type="spellStart"/>
            <w:r w:rsidRPr="00C454F5">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C454F5" w:rsidRDefault="002D3C12">
            <w:pPr>
              <w:rPr>
                <w:sz w:val="22"/>
                <w:szCs w:val="22"/>
                <w:lang w:val="lt-LT"/>
              </w:rPr>
            </w:pPr>
            <w:proofErr w:type="spellStart"/>
            <w:r w:rsidRPr="00C454F5">
              <w:rPr>
                <w:sz w:val="22"/>
                <w:szCs w:val="22"/>
                <w:lang w:val="lt-LT"/>
              </w:rPr>
              <w:t>Fa</w:t>
            </w:r>
            <w:r w:rsidR="00C743B6" w:rsidRPr="00C454F5">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C454F5" w:rsidRDefault="00C743B6">
            <w:pPr>
              <w:rPr>
                <w:sz w:val="22"/>
                <w:szCs w:val="22"/>
                <w:lang w:val="lt-LT"/>
              </w:rPr>
            </w:pPr>
            <w:proofErr w:type="spellStart"/>
            <w:r w:rsidRPr="00C454F5">
              <w:rPr>
                <w:sz w:val="22"/>
                <w:szCs w:val="22"/>
                <w:lang w:val="lt-LT"/>
              </w:rPr>
              <w:t>Department</w:t>
            </w:r>
            <w:proofErr w:type="spellEnd"/>
          </w:p>
        </w:tc>
      </w:tr>
      <w:tr w:rsidR="00654E78" w:rsidRPr="00C454F5" w:rsidTr="00654E78">
        <w:tc>
          <w:tcPr>
            <w:tcW w:w="3510" w:type="dxa"/>
            <w:tcBorders>
              <w:top w:val="single" w:sz="12" w:space="0" w:color="auto"/>
              <w:left w:val="single" w:sz="12" w:space="0" w:color="auto"/>
              <w:bottom w:val="single" w:sz="12" w:space="0" w:color="auto"/>
              <w:right w:val="single" w:sz="12" w:space="0" w:color="auto"/>
            </w:tcBorders>
          </w:tcPr>
          <w:p w:rsidR="007132E2" w:rsidRPr="00C454F5" w:rsidRDefault="007132E2" w:rsidP="007A674B">
            <w:pPr>
              <w:spacing w:line="276" w:lineRule="auto"/>
              <w:rPr>
                <w:b/>
                <w:sz w:val="22"/>
                <w:szCs w:val="22"/>
                <w:lang w:val="pl-PL"/>
              </w:rPr>
            </w:pPr>
            <w:r w:rsidRPr="00C454F5">
              <w:rPr>
                <w:b/>
                <w:sz w:val="22"/>
                <w:szCs w:val="22"/>
                <w:lang w:val="pl-PL"/>
              </w:rPr>
              <w:t>Theories of Nationalism and Their Application to the Historical Process</w:t>
            </w:r>
          </w:p>
          <w:p w:rsidR="00654E78" w:rsidRPr="00C454F5"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C454F5" w:rsidRDefault="000F6CFD" w:rsidP="000F6CFD">
            <w:pPr>
              <w:rPr>
                <w:sz w:val="22"/>
                <w:szCs w:val="22"/>
              </w:rPr>
            </w:pPr>
            <w:r w:rsidRPr="00C454F5">
              <w:rPr>
                <w:sz w:val="22"/>
                <w:szCs w:val="22"/>
              </w:rPr>
              <w:t xml:space="preserve">History and Archaeology </w:t>
            </w:r>
          </w:p>
          <w:p w:rsidR="00654E78" w:rsidRPr="00C454F5" w:rsidRDefault="000F6CFD" w:rsidP="000F6CFD">
            <w:pPr>
              <w:rPr>
                <w:sz w:val="22"/>
                <w:szCs w:val="22"/>
                <w:lang w:val="lt-LT"/>
              </w:rPr>
            </w:pPr>
            <w:r w:rsidRPr="00C454F5">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C454F5" w:rsidRDefault="000F6CFD">
            <w:pPr>
              <w:rPr>
                <w:sz w:val="22"/>
                <w:szCs w:val="22"/>
                <w:lang w:val="lt-LT"/>
              </w:rPr>
            </w:pPr>
            <w:proofErr w:type="spellStart"/>
            <w:r w:rsidRPr="00C454F5">
              <w:rPr>
                <w:sz w:val="22"/>
                <w:szCs w:val="22"/>
                <w:lang w:val="lt-LT"/>
              </w:rPr>
              <w:t>Faculty</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C454F5" w:rsidRDefault="007132E2">
            <w:pPr>
              <w:rPr>
                <w:sz w:val="22"/>
                <w:szCs w:val="22"/>
                <w:lang w:val="lt-LT"/>
              </w:rPr>
            </w:pPr>
            <w:r w:rsidRPr="00C454F5">
              <w:rPr>
                <w:sz w:val="22"/>
                <w:szCs w:val="22"/>
              </w:rPr>
              <w:t>Department of Modern History/</w:t>
            </w:r>
            <w:r w:rsidRPr="00C454F5">
              <w:rPr>
                <w:sz w:val="22"/>
                <w:szCs w:val="22"/>
                <w:shd w:val="clear" w:color="auto" w:fill="FFFFFF"/>
              </w:rPr>
              <w:t xml:space="preserve"> Lithuanian Institute of History</w:t>
            </w:r>
          </w:p>
        </w:tc>
      </w:tr>
      <w:tr w:rsidR="00654E78" w:rsidRPr="00C454F5" w:rsidTr="00654E78">
        <w:tc>
          <w:tcPr>
            <w:tcW w:w="9322" w:type="dxa"/>
            <w:gridSpan w:val="4"/>
            <w:tcBorders>
              <w:top w:val="single" w:sz="12" w:space="0" w:color="auto"/>
              <w:left w:val="single" w:sz="4" w:space="0" w:color="auto"/>
              <w:bottom w:val="double" w:sz="6" w:space="0" w:color="auto"/>
              <w:right w:val="nil"/>
            </w:tcBorders>
          </w:tcPr>
          <w:p w:rsidR="00654E78" w:rsidRPr="00C454F5" w:rsidRDefault="00654E78">
            <w:pPr>
              <w:rPr>
                <w:sz w:val="22"/>
                <w:szCs w:val="22"/>
                <w:lang w:val="lt-LT"/>
              </w:rPr>
            </w:pPr>
          </w:p>
        </w:tc>
      </w:tr>
      <w:tr w:rsidR="002D3C12" w:rsidRPr="00C454F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C454F5" w:rsidRDefault="00037733">
            <w:pPr>
              <w:rPr>
                <w:sz w:val="22"/>
                <w:szCs w:val="22"/>
                <w:lang w:val="lt-LT"/>
              </w:rPr>
            </w:pPr>
            <w:proofErr w:type="spellStart"/>
            <w:r w:rsidRPr="00C454F5">
              <w:rPr>
                <w:sz w:val="22"/>
                <w:szCs w:val="22"/>
                <w:lang w:val="lt-LT"/>
              </w:rPr>
              <w:t>Mode</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C454F5" w:rsidRDefault="00D70EFD">
            <w:pPr>
              <w:rPr>
                <w:sz w:val="22"/>
                <w:szCs w:val="22"/>
                <w:lang w:val="lt-LT"/>
              </w:rPr>
            </w:pPr>
            <w:proofErr w:type="spellStart"/>
            <w:r w:rsidRPr="00C454F5">
              <w:rPr>
                <w:sz w:val="22"/>
                <w:szCs w:val="22"/>
                <w:lang w:val="lt-LT"/>
              </w:rPr>
              <w:t>Number</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credits</w:t>
            </w:r>
            <w:proofErr w:type="spellEnd"/>
            <w:r w:rsidRPr="00C454F5">
              <w:rPr>
                <w:sz w:val="22"/>
                <w:szCs w:val="22"/>
                <w:lang w:val="lt-LT"/>
              </w:rPr>
              <w:t xml:space="preserve"> </w:t>
            </w:r>
            <w:r w:rsidR="009844CC" w:rsidRPr="00C454F5">
              <w:rPr>
                <w:sz w:val="22"/>
                <w:szCs w:val="22"/>
                <w:lang w:val="lt-LT"/>
              </w:rPr>
              <w:t>ECTS</w:t>
            </w:r>
          </w:p>
        </w:tc>
        <w:tc>
          <w:tcPr>
            <w:tcW w:w="1984" w:type="dxa"/>
            <w:tcBorders>
              <w:top w:val="double" w:sz="6" w:space="0" w:color="auto"/>
              <w:bottom w:val="single" w:sz="12" w:space="0" w:color="auto"/>
            </w:tcBorders>
            <w:shd w:val="clear" w:color="auto" w:fill="F2F2F2"/>
          </w:tcPr>
          <w:p w:rsidR="002D3C12" w:rsidRPr="00C454F5" w:rsidRDefault="000F6CFD">
            <w:pPr>
              <w:rPr>
                <w:sz w:val="22"/>
                <w:szCs w:val="22"/>
                <w:lang w:val="lt-LT"/>
              </w:rPr>
            </w:pPr>
            <w:proofErr w:type="spellStart"/>
            <w:r w:rsidRPr="00C454F5">
              <w:rPr>
                <w:sz w:val="22"/>
                <w:szCs w:val="22"/>
                <w:lang w:val="lt-LT"/>
              </w:rPr>
              <w:t>Mode</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C454F5" w:rsidRDefault="00252CBA">
            <w:pPr>
              <w:rPr>
                <w:sz w:val="22"/>
                <w:szCs w:val="22"/>
                <w:lang w:val="lt-LT"/>
              </w:rPr>
            </w:pPr>
            <w:proofErr w:type="spellStart"/>
            <w:r w:rsidRPr="00C454F5">
              <w:rPr>
                <w:sz w:val="22"/>
                <w:szCs w:val="22"/>
                <w:lang w:val="lt-LT"/>
              </w:rPr>
              <w:t>Number</w:t>
            </w:r>
            <w:proofErr w:type="spellEnd"/>
            <w:r w:rsidRPr="00C454F5">
              <w:rPr>
                <w:sz w:val="22"/>
                <w:szCs w:val="22"/>
                <w:lang w:val="lt-LT"/>
              </w:rPr>
              <w:t xml:space="preserve"> </w:t>
            </w:r>
            <w:proofErr w:type="spellStart"/>
            <w:r w:rsidRPr="00C454F5">
              <w:rPr>
                <w:sz w:val="22"/>
                <w:szCs w:val="22"/>
                <w:lang w:val="lt-LT"/>
              </w:rPr>
              <w:t>of</w:t>
            </w:r>
            <w:proofErr w:type="spellEnd"/>
            <w:r w:rsidRPr="00C454F5">
              <w:rPr>
                <w:sz w:val="22"/>
                <w:szCs w:val="22"/>
                <w:lang w:val="lt-LT"/>
              </w:rPr>
              <w:t xml:space="preserve"> </w:t>
            </w:r>
            <w:proofErr w:type="spellStart"/>
            <w:r w:rsidRPr="00C454F5">
              <w:rPr>
                <w:sz w:val="22"/>
                <w:szCs w:val="22"/>
                <w:lang w:val="lt-LT"/>
              </w:rPr>
              <w:t>credits</w:t>
            </w:r>
            <w:proofErr w:type="spellEnd"/>
            <w:r w:rsidRPr="00C454F5">
              <w:rPr>
                <w:sz w:val="22"/>
                <w:szCs w:val="22"/>
                <w:lang w:val="lt-LT"/>
              </w:rPr>
              <w:t xml:space="preserve"> </w:t>
            </w:r>
            <w:r w:rsidR="009708B7" w:rsidRPr="00C454F5">
              <w:rPr>
                <w:sz w:val="22"/>
                <w:szCs w:val="22"/>
                <w:lang w:val="lt-LT"/>
              </w:rPr>
              <w:t>ECTS</w:t>
            </w:r>
          </w:p>
        </w:tc>
      </w:tr>
      <w:tr w:rsidR="002D3C12" w:rsidRPr="00C454F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C454F5" w:rsidRDefault="0035258E">
            <w:pPr>
              <w:rPr>
                <w:sz w:val="22"/>
                <w:szCs w:val="22"/>
                <w:lang w:val="lt-LT"/>
              </w:rPr>
            </w:pPr>
            <w:proofErr w:type="spellStart"/>
            <w:r w:rsidRPr="00C454F5">
              <w:rPr>
                <w:sz w:val="22"/>
                <w:szCs w:val="22"/>
                <w:lang w:val="lt-LT"/>
              </w:rPr>
              <w:t>lectures</w:t>
            </w:r>
            <w:proofErr w:type="spellEnd"/>
          </w:p>
        </w:tc>
        <w:tc>
          <w:tcPr>
            <w:tcW w:w="1985" w:type="dxa"/>
            <w:tcBorders>
              <w:top w:val="single" w:sz="12" w:space="0" w:color="auto"/>
              <w:bottom w:val="single" w:sz="6" w:space="0" w:color="auto"/>
            </w:tcBorders>
          </w:tcPr>
          <w:p w:rsidR="002D3C12" w:rsidRPr="00C454F5" w:rsidRDefault="008C68EE">
            <w:pPr>
              <w:jc w:val="center"/>
              <w:rPr>
                <w:sz w:val="22"/>
                <w:szCs w:val="22"/>
                <w:lang w:val="lt-LT"/>
              </w:rPr>
            </w:pPr>
            <w:r w:rsidRPr="00C454F5">
              <w:rPr>
                <w:sz w:val="22"/>
                <w:szCs w:val="22"/>
                <w:lang w:val="lt-LT"/>
              </w:rPr>
              <w:t>1,5</w:t>
            </w:r>
          </w:p>
        </w:tc>
        <w:tc>
          <w:tcPr>
            <w:tcW w:w="1984" w:type="dxa"/>
            <w:tcBorders>
              <w:top w:val="single" w:sz="12" w:space="0" w:color="auto"/>
              <w:bottom w:val="single" w:sz="6" w:space="0" w:color="auto"/>
            </w:tcBorders>
          </w:tcPr>
          <w:p w:rsidR="002D3C12" w:rsidRPr="00C454F5" w:rsidRDefault="0035258E">
            <w:pPr>
              <w:rPr>
                <w:sz w:val="22"/>
                <w:szCs w:val="22"/>
                <w:lang w:val="lt-LT"/>
              </w:rPr>
            </w:pPr>
            <w:proofErr w:type="spellStart"/>
            <w:r w:rsidRPr="00C454F5">
              <w:rPr>
                <w:sz w:val="22"/>
                <w:szCs w:val="22"/>
                <w:lang w:val="lt-LT"/>
              </w:rPr>
              <w:t>consultations</w:t>
            </w:r>
            <w:proofErr w:type="spellEnd"/>
          </w:p>
        </w:tc>
        <w:tc>
          <w:tcPr>
            <w:tcW w:w="1843" w:type="dxa"/>
            <w:tcBorders>
              <w:top w:val="single" w:sz="12" w:space="0" w:color="auto"/>
              <w:bottom w:val="single" w:sz="6" w:space="0" w:color="auto"/>
            </w:tcBorders>
          </w:tcPr>
          <w:p w:rsidR="002D3C12" w:rsidRPr="00C454F5" w:rsidRDefault="008C68EE" w:rsidP="008C68EE">
            <w:pPr>
              <w:jc w:val="center"/>
              <w:rPr>
                <w:sz w:val="22"/>
                <w:szCs w:val="22"/>
                <w:lang w:val="lt-LT"/>
              </w:rPr>
            </w:pPr>
            <w:r w:rsidRPr="00C454F5">
              <w:rPr>
                <w:sz w:val="22"/>
                <w:szCs w:val="22"/>
                <w:lang w:val="lt-LT"/>
              </w:rPr>
              <w:t>1,5</w:t>
            </w:r>
          </w:p>
        </w:tc>
      </w:tr>
      <w:tr w:rsidR="002D3C12" w:rsidRPr="00C454F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C454F5" w:rsidRDefault="00CA6702">
            <w:pPr>
              <w:rPr>
                <w:sz w:val="22"/>
                <w:szCs w:val="22"/>
                <w:lang w:val="lt-LT"/>
              </w:rPr>
            </w:pPr>
            <w:proofErr w:type="spellStart"/>
            <w:r w:rsidRPr="00C454F5">
              <w:rPr>
                <w:sz w:val="22"/>
                <w:szCs w:val="22"/>
                <w:lang w:val="lt-LT"/>
              </w:rPr>
              <w:t>individual</w:t>
            </w:r>
            <w:proofErr w:type="spellEnd"/>
          </w:p>
        </w:tc>
        <w:tc>
          <w:tcPr>
            <w:tcW w:w="1985" w:type="dxa"/>
            <w:tcBorders>
              <w:top w:val="single" w:sz="6" w:space="0" w:color="auto"/>
              <w:bottom w:val="single" w:sz="12" w:space="0" w:color="auto"/>
            </w:tcBorders>
          </w:tcPr>
          <w:p w:rsidR="002D3C12" w:rsidRPr="00C454F5" w:rsidRDefault="008C68EE" w:rsidP="008C68EE">
            <w:pPr>
              <w:jc w:val="center"/>
              <w:rPr>
                <w:sz w:val="22"/>
                <w:szCs w:val="22"/>
                <w:lang w:val="lt-LT"/>
              </w:rPr>
            </w:pPr>
            <w:r w:rsidRPr="00C454F5">
              <w:rPr>
                <w:sz w:val="22"/>
                <w:szCs w:val="22"/>
                <w:lang w:val="lt-LT"/>
              </w:rPr>
              <w:t>3</w:t>
            </w:r>
          </w:p>
        </w:tc>
        <w:tc>
          <w:tcPr>
            <w:tcW w:w="1984" w:type="dxa"/>
            <w:tcBorders>
              <w:top w:val="single" w:sz="6" w:space="0" w:color="auto"/>
              <w:bottom w:val="single" w:sz="12" w:space="0" w:color="auto"/>
            </w:tcBorders>
          </w:tcPr>
          <w:p w:rsidR="002D3C12" w:rsidRPr="00C454F5" w:rsidRDefault="002D3C12">
            <w:pPr>
              <w:rPr>
                <w:sz w:val="22"/>
                <w:szCs w:val="22"/>
                <w:lang w:val="lt-LT"/>
              </w:rPr>
            </w:pPr>
            <w:proofErr w:type="spellStart"/>
            <w:r w:rsidRPr="00C454F5">
              <w:rPr>
                <w:sz w:val="22"/>
                <w:szCs w:val="22"/>
                <w:lang w:val="lt-LT"/>
              </w:rPr>
              <w:t>semina</w:t>
            </w:r>
            <w:r w:rsidR="00CA6702" w:rsidRPr="00C454F5">
              <w:rPr>
                <w:sz w:val="22"/>
                <w:szCs w:val="22"/>
                <w:lang w:val="lt-LT"/>
              </w:rPr>
              <w:t>rs</w:t>
            </w:r>
            <w:proofErr w:type="spellEnd"/>
          </w:p>
        </w:tc>
        <w:tc>
          <w:tcPr>
            <w:tcW w:w="1843" w:type="dxa"/>
            <w:tcBorders>
              <w:top w:val="single" w:sz="6" w:space="0" w:color="auto"/>
              <w:bottom w:val="single" w:sz="12" w:space="0" w:color="auto"/>
            </w:tcBorders>
          </w:tcPr>
          <w:p w:rsidR="002D3C12" w:rsidRPr="00C454F5" w:rsidRDefault="008C68EE" w:rsidP="008C68EE">
            <w:pPr>
              <w:jc w:val="center"/>
              <w:rPr>
                <w:sz w:val="22"/>
                <w:szCs w:val="22"/>
                <w:lang w:val="lt-LT"/>
              </w:rPr>
            </w:pPr>
            <w:r w:rsidRPr="00C454F5">
              <w:rPr>
                <w:sz w:val="22"/>
                <w:szCs w:val="22"/>
                <w:lang w:val="lt-LT"/>
              </w:rPr>
              <w:t>1,5</w:t>
            </w:r>
          </w:p>
        </w:tc>
      </w:tr>
    </w:tbl>
    <w:p w:rsidR="002D3C12" w:rsidRPr="00C454F5" w:rsidRDefault="00F76EBE">
      <w:pPr>
        <w:rPr>
          <w:sz w:val="22"/>
          <w:szCs w:val="22"/>
          <w:lang w:val="lt-LT"/>
        </w:rPr>
      </w:pPr>
      <w:r w:rsidRPr="00C454F5">
        <w:rPr>
          <w:sz w:val="22"/>
          <w:szCs w:val="22"/>
          <w:lang w:val="lt-LT"/>
        </w:rPr>
        <w:t xml:space="preserve">                                                                                                                                  </w:t>
      </w:r>
      <w:proofErr w:type="gramStart"/>
      <w:r w:rsidR="005A3568" w:rsidRPr="00C454F5">
        <w:rPr>
          <w:b/>
          <w:bCs/>
          <w:sz w:val="22"/>
          <w:szCs w:val="22"/>
        </w:rPr>
        <w:t>Total  7</w:t>
      </w:r>
      <w:proofErr w:type="gramEnd"/>
      <w:r w:rsidR="005A3568" w:rsidRPr="00C454F5">
        <w:rPr>
          <w:b/>
          <w:bCs/>
          <w:sz w:val="22"/>
          <w:szCs w:val="22"/>
        </w:rPr>
        <w:t>,5</w:t>
      </w:r>
      <w:r w:rsidRPr="00C454F5">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C454F5" w:rsidTr="00C454F5">
        <w:tc>
          <w:tcPr>
            <w:tcW w:w="9287" w:type="dxa"/>
            <w:gridSpan w:val="3"/>
            <w:tcBorders>
              <w:top w:val="single" w:sz="12" w:space="0" w:color="auto"/>
              <w:bottom w:val="single" w:sz="12" w:space="0" w:color="auto"/>
            </w:tcBorders>
            <w:shd w:val="clear" w:color="auto" w:fill="F2F2F2"/>
          </w:tcPr>
          <w:p w:rsidR="002D3C12" w:rsidRPr="00C454F5" w:rsidRDefault="00354267">
            <w:pPr>
              <w:rPr>
                <w:sz w:val="22"/>
                <w:szCs w:val="22"/>
                <w:lang w:val="lt-LT"/>
              </w:rPr>
            </w:pPr>
            <w:proofErr w:type="spellStart"/>
            <w:r w:rsidRPr="00C454F5">
              <w:rPr>
                <w:sz w:val="22"/>
                <w:szCs w:val="22"/>
                <w:lang w:val="lt-LT"/>
              </w:rPr>
              <w:t>Subject</w:t>
            </w:r>
            <w:proofErr w:type="spellEnd"/>
            <w:r w:rsidRPr="00C454F5">
              <w:rPr>
                <w:sz w:val="22"/>
                <w:szCs w:val="22"/>
                <w:lang w:val="lt-LT"/>
              </w:rPr>
              <w:t xml:space="preserve"> </w:t>
            </w:r>
            <w:proofErr w:type="spellStart"/>
            <w:r w:rsidRPr="00C454F5">
              <w:rPr>
                <w:sz w:val="22"/>
                <w:szCs w:val="22"/>
                <w:lang w:val="lt-LT"/>
              </w:rPr>
              <w:t>annotation</w:t>
            </w:r>
            <w:proofErr w:type="spellEnd"/>
          </w:p>
        </w:tc>
      </w:tr>
      <w:tr w:rsidR="002D3C12" w:rsidRPr="00C454F5" w:rsidTr="00C454F5">
        <w:tc>
          <w:tcPr>
            <w:tcW w:w="9287" w:type="dxa"/>
            <w:gridSpan w:val="3"/>
            <w:tcBorders>
              <w:top w:val="single" w:sz="12" w:space="0" w:color="auto"/>
              <w:bottom w:val="double" w:sz="6" w:space="0" w:color="auto"/>
            </w:tcBorders>
          </w:tcPr>
          <w:p w:rsidR="000B78B5" w:rsidRPr="00C454F5" w:rsidRDefault="000B78B5" w:rsidP="000B78B5">
            <w:pPr>
              <w:spacing w:line="276" w:lineRule="auto"/>
              <w:jc w:val="both"/>
              <w:rPr>
                <w:bCs/>
                <w:sz w:val="22"/>
                <w:szCs w:val="22"/>
                <w:lang w:val="pl-PL"/>
              </w:rPr>
            </w:pPr>
            <w:r w:rsidRPr="00C454F5">
              <w:rPr>
                <w:bCs/>
                <w:sz w:val="22"/>
                <w:szCs w:val="22"/>
                <w:lang w:val="pl-PL"/>
              </w:rPr>
              <w:t xml:space="preserve">The study of history is often accused of being too empirical, dominated by a descriptive approach, and disconnected from other humanities or social disciplines. At the same time, it is not uncommon, for example, for a sociological theory that claims to explain historical processes to be unmoored from historiography. It is therefore very important for historians to be aware of the trends and theories of related sciences and, if necessary, to make use of their insights, theories, etc. First of all, this course analyses the most important scholarly approaches to explaining the emergence and development of nationalism (from primordialist to constructivist). It focuses on the work of E. Gellner, A. Smith, B. Anderson, R. Brubaker, and other theorists. The Czech historian M. Hroch's concept of the periodization of national movements of "small nations" and its applicability to Central and Eastern Europe are discussed separately. The second part of the course is devoted to a discussion of the specific historiography of Central and Eastern European nationalisms. The focus here is on the following issues: what determines the emergence of ethnolinguistic nationalism in the region (modernization; the spread of literacy; ethnic discrimination; the spread of Romanticist ideas; the imitation of the Western model, etc.); how imperial policies influence the emergence of specific nationalisms and their nature; whether there were alternatives to the "winning" nationalisms; what circumstances in the region create the preconditions for the emergence of civic nationalisms (e.g. </w:t>
            </w:r>
            <w:r w:rsidRPr="00C454F5">
              <w:rPr>
                <w:bCs/>
                <w:i/>
                <w:iCs/>
                <w:sz w:val="22"/>
                <w:szCs w:val="22"/>
                <w:lang w:val="pl-PL"/>
              </w:rPr>
              <w:t>krajovtsy</w:t>
            </w:r>
            <w:r w:rsidRPr="00C454F5">
              <w:rPr>
                <w:bCs/>
                <w:sz w:val="22"/>
                <w:szCs w:val="22"/>
                <w:lang w:val="pl-PL"/>
              </w:rPr>
              <w:t xml:space="preserve"> in historical Lithuania) and what leads to their "failure", etc. Another important thematic block is the relationship between empires and nationalism in the 19th century.</w:t>
            </w:r>
          </w:p>
          <w:p w:rsidR="002D3C12" w:rsidRPr="00C454F5" w:rsidRDefault="002D3C12">
            <w:pPr>
              <w:jc w:val="both"/>
              <w:rPr>
                <w:sz w:val="22"/>
                <w:szCs w:val="22"/>
                <w:lang w:val="lt-LT"/>
              </w:rPr>
            </w:pPr>
          </w:p>
        </w:tc>
      </w:tr>
      <w:tr w:rsidR="002D3C12" w:rsidRPr="00C454F5" w:rsidTr="00C454F5">
        <w:tc>
          <w:tcPr>
            <w:tcW w:w="9287" w:type="dxa"/>
            <w:gridSpan w:val="3"/>
            <w:tcBorders>
              <w:top w:val="double" w:sz="6" w:space="0" w:color="auto"/>
              <w:bottom w:val="single" w:sz="12" w:space="0" w:color="auto"/>
            </w:tcBorders>
            <w:shd w:val="clear" w:color="auto" w:fill="F2F2F2"/>
          </w:tcPr>
          <w:p w:rsidR="002D3C12" w:rsidRPr="00C454F5" w:rsidRDefault="002D7AD1">
            <w:pPr>
              <w:rPr>
                <w:sz w:val="22"/>
                <w:szCs w:val="22"/>
                <w:lang w:val="lt-LT"/>
              </w:rPr>
            </w:pPr>
            <w:proofErr w:type="spellStart"/>
            <w:r w:rsidRPr="00C454F5">
              <w:rPr>
                <w:sz w:val="22"/>
                <w:szCs w:val="22"/>
                <w:lang w:val="lt-LT"/>
              </w:rPr>
              <w:t>Key</w:t>
            </w:r>
            <w:proofErr w:type="spellEnd"/>
            <w:r w:rsidRPr="00C454F5">
              <w:rPr>
                <w:sz w:val="22"/>
                <w:szCs w:val="22"/>
                <w:lang w:val="lt-LT"/>
              </w:rPr>
              <w:t xml:space="preserve"> </w:t>
            </w:r>
            <w:proofErr w:type="spellStart"/>
            <w:r w:rsidRPr="00C454F5">
              <w:rPr>
                <w:sz w:val="22"/>
                <w:szCs w:val="22"/>
                <w:lang w:val="lt-LT"/>
              </w:rPr>
              <w:t>literature</w:t>
            </w:r>
            <w:proofErr w:type="spellEnd"/>
          </w:p>
        </w:tc>
      </w:tr>
      <w:tr w:rsidR="000B78B5" w:rsidRPr="00C454F5" w:rsidTr="00C454F5">
        <w:trPr>
          <w:trHeight w:val="893"/>
        </w:trPr>
        <w:tc>
          <w:tcPr>
            <w:tcW w:w="9287" w:type="dxa"/>
            <w:gridSpan w:val="3"/>
            <w:tcBorders>
              <w:top w:val="nil"/>
            </w:tcBorders>
          </w:tcPr>
          <w:p w:rsidR="009E3435" w:rsidRPr="00C454F5" w:rsidRDefault="009E3435" w:rsidP="009E3435">
            <w:pPr>
              <w:rPr>
                <w:sz w:val="22"/>
                <w:szCs w:val="22"/>
              </w:rPr>
            </w:pPr>
            <w:r w:rsidRPr="00C454F5">
              <w:rPr>
                <w:sz w:val="22"/>
                <w:szCs w:val="22"/>
              </w:rPr>
              <w:t>The State of Nationalism: http://test.www.nise.eu/research/#son</w:t>
            </w:r>
          </w:p>
          <w:p w:rsidR="009E3435" w:rsidRPr="00C454F5" w:rsidRDefault="009E3435" w:rsidP="009E3435">
            <w:pPr>
              <w:rPr>
                <w:i/>
                <w:iCs/>
                <w:sz w:val="22"/>
                <w:szCs w:val="22"/>
              </w:rPr>
            </w:pPr>
            <w:r w:rsidRPr="00C454F5">
              <w:rPr>
                <w:rStyle w:val="Strong"/>
                <w:b w:val="0"/>
                <w:bCs w:val="0"/>
                <w:color w:val="424242"/>
                <w:sz w:val="22"/>
                <w:szCs w:val="22"/>
                <w:shd w:val="clear" w:color="auto" w:fill="F8F7F2"/>
              </w:rPr>
              <w:t>Stefan Berger, Alexei Miller, eds.</w:t>
            </w:r>
            <w:r w:rsidRPr="00C454F5">
              <w:rPr>
                <w:color w:val="424242"/>
                <w:sz w:val="22"/>
                <w:szCs w:val="22"/>
                <w:shd w:val="clear" w:color="auto" w:fill="F8F7F2"/>
              </w:rPr>
              <w:t> </w:t>
            </w:r>
            <w:r w:rsidRPr="00C454F5">
              <w:rPr>
                <w:rStyle w:val="Emphasis"/>
                <w:color w:val="424242"/>
                <w:sz w:val="22"/>
                <w:szCs w:val="22"/>
                <w:shd w:val="clear" w:color="auto" w:fill="F8F7F2"/>
              </w:rPr>
              <w:t>Nationalizing Empires.</w:t>
            </w:r>
            <w:r w:rsidRPr="00C454F5">
              <w:rPr>
                <w:color w:val="424242"/>
                <w:sz w:val="22"/>
                <w:szCs w:val="22"/>
                <w:shd w:val="clear" w:color="auto" w:fill="F8F7F2"/>
              </w:rPr>
              <w:t> Budapest: Central European University Press, 2014</w:t>
            </w:r>
            <w:r w:rsidRPr="00C454F5">
              <w:rPr>
                <w:i/>
                <w:iCs/>
                <w:color w:val="424242"/>
                <w:sz w:val="22"/>
                <w:szCs w:val="22"/>
                <w:shd w:val="clear" w:color="auto" w:fill="F8F7F2"/>
              </w:rPr>
              <w:t xml:space="preserve"> </w:t>
            </w:r>
          </w:p>
          <w:p w:rsidR="009E3435" w:rsidRPr="00C454F5" w:rsidRDefault="009E3435" w:rsidP="009E3435">
            <w:pPr>
              <w:rPr>
                <w:sz w:val="22"/>
                <w:szCs w:val="22"/>
                <w:lang w:val="lt-LT"/>
              </w:rPr>
            </w:pPr>
            <w:r w:rsidRPr="00C454F5">
              <w:rPr>
                <w:sz w:val="22"/>
                <w:szCs w:val="22"/>
              </w:rPr>
              <w:t>Rogers Brubaker, and Frederick Cooper, Beyond ‚</w:t>
            </w:r>
            <w:proofErr w:type="gramStart"/>
            <w:r w:rsidRPr="00C454F5">
              <w:rPr>
                <w:sz w:val="22"/>
                <w:szCs w:val="22"/>
              </w:rPr>
              <w:t>Identity‘</w:t>
            </w:r>
            <w:proofErr w:type="gramEnd"/>
            <w:r w:rsidRPr="00C454F5">
              <w:rPr>
                <w:sz w:val="22"/>
                <w:szCs w:val="22"/>
              </w:rPr>
              <w:t>, Theory and Society 29 (2000): 1–47</w:t>
            </w:r>
          </w:p>
          <w:p w:rsidR="009E3435" w:rsidRPr="00C454F5" w:rsidRDefault="009E3435" w:rsidP="009E3435">
            <w:pPr>
              <w:rPr>
                <w:sz w:val="22"/>
                <w:szCs w:val="22"/>
                <w:lang w:val="lt-LT"/>
              </w:rPr>
            </w:pPr>
            <w:r w:rsidRPr="00C454F5">
              <w:rPr>
                <w:sz w:val="22"/>
                <w:szCs w:val="22"/>
              </w:rPr>
              <w:t xml:space="preserve">Tara Zahra, Imagined </w:t>
            </w:r>
            <w:proofErr w:type="spellStart"/>
            <w:r w:rsidRPr="00C454F5">
              <w:rPr>
                <w:sz w:val="22"/>
                <w:szCs w:val="22"/>
              </w:rPr>
              <w:t>Noncommunities</w:t>
            </w:r>
            <w:proofErr w:type="spellEnd"/>
            <w:r w:rsidRPr="00C454F5">
              <w:rPr>
                <w:sz w:val="22"/>
                <w:szCs w:val="22"/>
              </w:rPr>
              <w:t>: National Indifference as a Category of Analysis, Slavic Review, Vol. 69, No. 1 (Spring, 2010), pp. 93-119</w:t>
            </w:r>
          </w:p>
          <w:p w:rsidR="009E3435" w:rsidRPr="00C454F5" w:rsidRDefault="009E3435" w:rsidP="009E3435">
            <w:pPr>
              <w:rPr>
                <w:sz w:val="22"/>
                <w:szCs w:val="22"/>
                <w:lang w:val="lt-LT"/>
              </w:rPr>
            </w:pPr>
            <w:r w:rsidRPr="00C454F5">
              <w:rPr>
                <w:sz w:val="22"/>
                <w:szCs w:val="22"/>
              </w:rPr>
              <w:t xml:space="preserve">Ernest </w:t>
            </w:r>
            <w:proofErr w:type="spellStart"/>
            <w:r w:rsidRPr="00C454F5">
              <w:rPr>
                <w:sz w:val="22"/>
                <w:szCs w:val="22"/>
              </w:rPr>
              <w:t>Gellner</w:t>
            </w:r>
            <w:proofErr w:type="spellEnd"/>
            <w:r w:rsidRPr="00C454F5">
              <w:rPr>
                <w:sz w:val="22"/>
                <w:szCs w:val="22"/>
              </w:rPr>
              <w:t xml:space="preserve">, </w:t>
            </w:r>
            <w:proofErr w:type="spellStart"/>
            <w:r w:rsidRPr="00C454F5">
              <w:rPr>
                <w:sz w:val="22"/>
                <w:szCs w:val="22"/>
              </w:rPr>
              <w:t>Tautos</w:t>
            </w:r>
            <w:proofErr w:type="spellEnd"/>
            <w:r w:rsidRPr="00C454F5">
              <w:rPr>
                <w:sz w:val="22"/>
                <w:szCs w:val="22"/>
              </w:rPr>
              <w:t xml:space="preserve"> </w:t>
            </w:r>
            <w:proofErr w:type="spellStart"/>
            <w:r w:rsidRPr="00C454F5">
              <w:rPr>
                <w:sz w:val="22"/>
                <w:szCs w:val="22"/>
              </w:rPr>
              <w:t>ir</w:t>
            </w:r>
            <w:proofErr w:type="spellEnd"/>
            <w:r w:rsidRPr="00C454F5">
              <w:rPr>
                <w:sz w:val="22"/>
                <w:szCs w:val="22"/>
              </w:rPr>
              <w:t xml:space="preserve"> </w:t>
            </w:r>
            <w:proofErr w:type="spellStart"/>
            <w:r w:rsidRPr="00C454F5">
              <w:rPr>
                <w:sz w:val="22"/>
                <w:szCs w:val="22"/>
              </w:rPr>
              <w:t>nacionalizmas</w:t>
            </w:r>
            <w:proofErr w:type="spellEnd"/>
            <w:r w:rsidRPr="00C454F5">
              <w:rPr>
                <w:sz w:val="22"/>
                <w:szCs w:val="22"/>
              </w:rPr>
              <w:t xml:space="preserve">, Vilnius: </w:t>
            </w:r>
            <w:proofErr w:type="spellStart"/>
            <w:r w:rsidRPr="00C454F5">
              <w:rPr>
                <w:sz w:val="22"/>
                <w:szCs w:val="22"/>
              </w:rPr>
              <w:t>Pradai</w:t>
            </w:r>
            <w:proofErr w:type="spellEnd"/>
            <w:r w:rsidRPr="00C454F5">
              <w:rPr>
                <w:sz w:val="22"/>
                <w:szCs w:val="22"/>
              </w:rPr>
              <w:t>, 1996</w:t>
            </w:r>
          </w:p>
          <w:p w:rsidR="009E3435" w:rsidRPr="00C454F5" w:rsidRDefault="009E3435" w:rsidP="009E3435">
            <w:pPr>
              <w:rPr>
                <w:sz w:val="22"/>
                <w:szCs w:val="22"/>
                <w:lang w:val="lt-LT"/>
              </w:rPr>
            </w:pPr>
            <w:proofErr w:type="spellStart"/>
            <w:r w:rsidRPr="00C454F5">
              <w:rPr>
                <w:sz w:val="22"/>
                <w:szCs w:val="22"/>
                <w:lang w:val="lt-LT"/>
              </w:rPr>
              <w:t>Benedict</w:t>
            </w:r>
            <w:proofErr w:type="spellEnd"/>
            <w:r w:rsidRPr="00C454F5">
              <w:rPr>
                <w:sz w:val="22"/>
                <w:szCs w:val="22"/>
                <w:lang w:val="lt-LT"/>
              </w:rPr>
              <w:t xml:space="preserve"> </w:t>
            </w:r>
            <w:proofErr w:type="spellStart"/>
            <w:r w:rsidRPr="00C454F5">
              <w:rPr>
                <w:sz w:val="22"/>
                <w:szCs w:val="22"/>
                <w:lang w:val="lt-LT"/>
              </w:rPr>
              <w:t>Anderson</w:t>
            </w:r>
            <w:proofErr w:type="spellEnd"/>
            <w:r w:rsidRPr="00C454F5">
              <w:rPr>
                <w:sz w:val="22"/>
                <w:szCs w:val="22"/>
                <w:lang w:val="lt-LT"/>
              </w:rPr>
              <w:t>, Įsivaizduojamos bendruomenės. Apmąstymai apie nacionalizmo kilmę ir plitimą, Vilnius: baltos lankos, 1999</w:t>
            </w:r>
          </w:p>
          <w:p w:rsidR="009E3435" w:rsidRPr="00C454F5" w:rsidRDefault="009E3435" w:rsidP="009E3435">
            <w:pPr>
              <w:rPr>
                <w:sz w:val="22"/>
                <w:szCs w:val="22"/>
                <w:lang w:val="lt-LT"/>
              </w:rPr>
            </w:pPr>
            <w:r w:rsidRPr="00C454F5">
              <w:rPr>
                <w:sz w:val="22"/>
                <w:szCs w:val="22"/>
                <w:lang w:val="lt-LT"/>
              </w:rPr>
              <w:t xml:space="preserve">Kęstutis K. Girnius, Mąstymas tautomis. Konceptuali normatyvioji nacionalizmo schema, Naujasis židinys-Aidai, 2001 </w:t>
            </w:r>
            <w:proofErr w:type="spellStart"/>
            <w:r w:rsidRPr="00C454F5">
              <w:rPr>
                <w:sz w:val="22"/>
                <w:szCs w:val="22"/>
                <w:lang w:val="lt-LT"/>
              </w:rPr>
              <w:t>nr.</w:t>
            </w:r>
            <w:proofErr w:type="spellEnd"/>
            <w:r w:rsidRPr="00C454F5">
              <w:rPr>
                <w:sz w:val="22"/>
                <w:szCs w:val="22"/>
                <w:lang w:val="lt-LT"/>
              </w:rPr>
              <w:t xml:space="preserve"> 6, p. 370-382</w:t>
            </w:r>
          </w:p>
          <w:p w:rsidR="000B78B5" w:rsidRPr="00C454F5" w:rsidRDefault="009E3435" w:rsidP="009E3435">
            <w:pPr>
              <w:rPr>
                <w:sz w:val="22"/>
                <w:szCs w:val="22"/>
                <w:lang w:val="lt-LT"/>
              </w:rPr>
            </w:pPr>
            <w:r w:rsidRPr="00C454F5">
              <w:rPr>
                <w:sz w:val="22"/>
                <w:szCs w:val="22"/>
              </w:rPr>
              <w:t>Anthony D. Smith, Ethno-symbolism and Nationalism. A cultural approach, 2009</w:t>
            </w:r>
          </w:p>
          <w:p w:rsidR="000B78B5" w:rsidRPr="00C454F5" w:rsidRDefault="000B78B5">
            <w:pPr>
              <w:rPr>
                <w:sz w:val="22"/>
                <w:szCs w:val="22"/>
                <w:lang w:val="lt-LT"/>
              </w:rPr>
            </w:pPr>
          </w:p>
          <w:p w:rsidR="000B78B5" w:rsidRPr="00C454F5" w:rsidRDefault="000B78B5" w:rsidP="005D7967">
            <w:pPr>
              <w:rPr>
                <w:sz w:val="22"/>
                <w:szCs w:val="22"/>
                <w:lang w:val="lt-LT"/>
              </w:rPr>
            </w:pPr>
          </w:p>
        </w:tc>
      </w:tr>
      <w:tr w:rsidR="00D83738" w:rsidRPr="00C454F5" w:rsidTr="00C45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C454F5" w:rsidRDefault="00027F73">
            <w:pPr>
              <w:rPr>
                <w:sz w:val="22"/>
                <w:szCs w:val="22"/>
                <w:lang w:val="lt-LT"/>
              </w:rPr>
            </w:pPr>
            <w:proofErr w:type="spellStart"/>
            <w:r w:rsidRPr="00C454F5">
              <w:rPr>
                <w:sz w:val="22"/>
                <w:szCs w:val="22"/>
                <w:lang w:val="lt-LT"/>
              </w:rPr>
              <w:lastRenderedPageBreak/>
              <w:t>Supervising</w:t>
            </w:r>
            <w:proofErr w:type="spellEnd"/>
            <w:r w:rsidRPr="00C454F5">
              <w:rPr>
                <w:sz w:val="22"/>
                <w:szCs w:val="22"/>
                <w:lang w:val="lt-LT"/>
              </w:rPr>
              <w:t xml:space="preserve"> </w:t>
            </w:r>
            <w:proofErr w:type="spellStart"/>
            <w:r w:rsidRPr="00C454F5">
              <w:rPr>
                <w:sz w:val="22"/>
                <w:szCs w:val="22"/>
                <w:lang w:val="lt-LT"/>
              </w:rPr>
              <w:t>lecturers</w:t>
            </w:r>
            <w:proofErr w:type="spellEnd"/>
            <w:r w:rsidRPr="00C454F5">
              <w:rPr>
                <w:sz w:val="22"/>
                <w:szCs w:val="22"/>
                <w:lang w:val="lt-LT"/>
              </w:rPr>
              <w:t xml:space="preserve">‘ </w:t>
            </w:r>
            <w:proofErr w:type="spellStart"/>
            <w:r w:rsidR="00B65DF1" w:rsidRPr="00C454F5">
              <w:rPr>
                <w:sz w:val="22"/>
                <w:szCs w:val="22"/>
                <w:lang w:val="lt-LT"/>
              </w:rPr>
              <w:t>names</w:t>
            </w:r>
            <w:proofErr w:type="spellEnd"/>
            <w:r w:rsidR="00883F45" w:rsidRPr="00C454F5">
              <w:rPr>
                <w:sz w:val="22"/>
                <w:szCs w:val="22"/>
                <w:lang w:val="lt-LT"/>
              </w:rPr>
              <w:t xml:space="preserve"> </w:t>
            </w:r>
            <w:proofErr w:type="spellStart"/>
            <w:r w:rsidR="00883F45" w:rsidRPr="00C454F5">
              <w:rPr>
                <w:sz w:val="22"/>
                <w:szCs w:val="22"/>
                <w:lang w:val="lt-LT"/>
              </w:rPr>
              <w:t>and</w:t>
            </w:r>
            <w:proofErr w:type="spellEnd"/>
            <w:r w:rsidR="00883F45" w:rsidRPr="00C454F5">
              <w:rPr>
                <w:sz w:val="22"/>
                <w:szCs w:val="22"/>
                <w:lang w:val="lt-LT"/>
              </w:rPr>
              <w:t xml:space="preserve"> </w:t>
            </w:r>
            <w:proofErr w:type="spellStart"/>
            <w:r w:rsidR="00883F45" w:rsidRPr="00C454F5">
              <w:rPr>
                <w:sz w:val="22"/>
                <w:szCs w:val="22"/>
                <w:lang w:val="lt-LT"/>
              </w:rPr>
              <w:t>surname</w:t>
            </w:r>
            <w:r w:rsidR="00B65DF1" w:rsidRPr="00C454F5">
              <w:rPr>
                <w:sz w:val="22"/>
                <w:szCs w:val="22"/>
                <w:lang w:val="lt-LT"/>
              </w:rPr>
              <w:t>s</w:t>
            </w:r>
            <w:proofErr w:type="spellEnd"/>
            <w:r w:rsidR="00883F45" w:rsidRPr="00C454F5">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C454F5" w:rsidRDefault="003171A5">
            <w:pPr>
              <w:rPr>
                <w:sz w:val="22"/>
                <w:szCs w:val="22"/>
                <w:lang w:val="lt-LT"/>
              </w:rPr>
            </w:pPr>
            <w:proofErr w:type="spellStart"/>
            <w:r w:rsidRPr="00C454F5">
              <w:rPr>
                <w:sz w:val="22"/>
                <w:szCs w:val="22"/>
                <w:lang w:val="lt-LT"/>
              </w:rPr>
              <w:t>Academic</w:t>
            </w:r>
            <w:proofErr w:type="spellEnd"/>
            <w:r w:rsidRPr="00C454F5">
              <w:rPr>
                <w:sz w:val="22"/>
                <w:szCs w:val="22"/>
                <w:lang w:val="lt-LT"/>
              </w:rPr>
              <w:t xml:space="preserve"> </w:t>
            </w:r>
            <w:proofErr w:type="spellStart"/>
            <w:r w:rsidRPr="00C454F5">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C454F5" w:rsidRDefault="00ED2DF9">
            <w:pPr>
              <w:rPr>
                <w:sz w:val="22"/>
                <w:szCs w:val="22"/>
                <w:lang w:val="lt-LT"/>
              </w:rPr>
            </w:pPr>
            <w:proofErr w:type="spellStart"/>
            <w:r w:rsidRPr="00C454F5">
              <w:rPr>
                <w:sz w:val="22"/>
                <w:szCs w:val="22"/>
                <w:lang w:val="lt-LT"/>
              </w:rPr>
              <w:t>Major</w:t>
            </w:r>
            <w:proofErr w:type="spellEnd"/>
            <w:r w:rsidRPr="00C454F5">
              <w:rPr>
                <w:sz w:val="22"/>
                <w:szCs w:val="22"/>
                <w:lang w:val="lt-LT"/>
              </w:rPr>
              <w:t xml:space="preserve"> </w:t>
            </w:r>
            <w:proofErr w:type="spellStart"/>
            <w:r w:rsidRPr="00C454F5">
              <w:rPr>
                <w:sz w:val="22"/>
                <w:szCs w:val="22"/>
                <w:lang w:val="lt-LT"/>
              </w:rPr>
              <w:t>works</w:t>
            </w:r>
            <w:proofErr w:type="spellEnd"/>
            <w:r w:rsidRPr="00C454F5">
              <w:rPr>
                <w:sz w:val="22"/>
                <w:szCs w:val="22"/>
                <w:lang w:val="lt-LT"/>
              </w:rPr>
              <w:t xml:space="preserve"> </w:t>
            </w:r>
            <w:proofErr w:type="spellStart"/>
            <w:r w:rsidRPr="00C454F5">
              <w:rPr>
                <w:sz w:val="22"/>
                <w:szCs w:val="22"/>
                <w:lang w:val="lt-LT"/>
              </w:rPr>
              <w:t>in</w:t>
            </w:r>
            <w:proofErr w:type="spellEnd"/>
            <w:r w:rsidRPr="00C454F5">
              <w:rPr>
                <w:sz w:val="22"/>
                <w:szCs w:val="22"/>
                <w:lang w:val="lt-LT"/>
              </w:rPr>
              <w:t xml:space="preserve"> </w:t>
            </w:r>
            <w:proofErr w:type="spellStart"/>
            <w:r w:rsidRPr="00C454F5">
              <w:rPr>
                <w:sz w:val="22"/>
                <w:szCs w:val="22"/>
                <w:lang w:val="lt-LT"/>
              </w:rPr>
              <w:t>the</w:t>
            </w:r>
            <w:proofErr w:type="spellEnd"/>
            <w:r w:rsidRPr="00C454F5">
              <w:rPr>
                <w:sz w:val="22"/>
                <w:szCs w:val="22"/>
                <w:lang w:val="lt-LT"/>
              </w:rPr>
              <w:t xml:space="preserve"> </w:t>
            </w:r>
            <w:proofErr w:type="spellStart"/>
            <w:r w:rsidRPr="00C454F5">
              <w:rPr>
                <w:sz w:val="22"/>
                <w:szCs w:val="22"/>
                <w:lang w:val="lt-LT"/>
              </w:rPr>
              <w:t>field</w:t>
            </w:r>
            <w:proofErr w:type="spellEnd"/>
            <w:r w:rsidRPr="00C454F5">
              <w:rPr>
                <w:sz w:val="22"/>
                <w:szCs w:val="22"/>
                <w:lang w:val="lt-LT"/>
              </w:rPr>
              <w:t xml:space="preserve"> (</w:t>
            </w:r>
            <w:proofErr w:type="spellStart"/>
            <w:r w:rsidRPr="00C454F5">
              <w:rPr>
                <w:sz w:val="22"/>
                <w:szCs w:val="22"/>
                <w:lang w:val="lt-LT"/>
              </w:rPr>
              <w:t>branch</w:t>
            </w:r>
            <w:proofErr w:type="spellEnd"/>
            <w:r w:rsidRPr="00C454F5">
              <w:rPr>
                <w:sz w:val="22"/>
                <w:szCs w:val="22"/>
                <w:lang w:val="lt-LT"/>
              </w:rPr>
              <w:t xml:space="preserve">) </w:t>
            </w:r>
            <w:proofErr w:type="spellStart"/>
            <w:r w:rsidRPr="00C454F5">
              <w:rPr>
                <w:sz w:val="22"/>
                <w:szCs w:val="22"/>
                <w:lang w:val="lt-LT"/>
              </w:rPr>
              <w:t>published</w:t>
            </w:r>
            <w:proofErr w:type="spellEnd"/>
            <w:r w:rsidRPr="00C454F5">
              <w:rPr>
                <w:sz w:val="22"/>
                <w:szCs w:val="22"/>
                <w:lang w:val="lt-LT"/>
              </w:rPr>
              <w:t xml:space="preserve"> </w:t>
            </w:r>
            <w:proofErr w:type="spellStart"/>
            <w:r w:rsidRPr="00C454F5">
              <w:rPr>
                <w:sz w:val="22"/>
                <w:szCs w:val="22"/>
                <w:lang w:val="lt-LT"/>
              </w:rPr>
              <w:t>in</w:t>
            </w:r>
            <w:proofErr w:type="spellEnd"/>
            <w:r w:rsidRPr="00C454F5">
              <w:rPr>
                <w:sz w:val="22"/>
                <w:szCs w:val="22"/>
                <w:lang w:val="lt-LT"/>
              </w:rPr>
              <w:t xml:space="preserve"> </w:t>
            </w:r>
            <w:proofErr w:type="spellStart"/>
            <w:r w:rsidRPr="00C454F5">
              <w:rPr>
                <w:sz w:val="22"/>
                <w:szCs w:val="22"/>
                <w:lang w:val="lt-LT"/>
              </w:rPr>
              <w:t>the</w:t>
            </w:r>
            <w:proofErr w:type="spellEnd"/>
            <w:r w:rsidRPr="00C454F5">
              <w:rPr>
                <w:sz w:val="22"/>
                <w:szCs w:val="22"/>
                <w:lang w:val="lt-LT"/>
              </w:rPr>
              <w:t xml:space="preserve"> </w:t>
            </w:r>
            <w:proofErr w:type="spellStart"/>
            <w:r w:rsidRPr="00C454F5">
              <w:rPr>
                <w:sz w:val="22"/>
                <w:szCs w:val="22"/>
                <w:lang w:val="lt-LT"/>
              </w:rPr>
              <w:t>recent</w:t>
            </w:r>
            <w:proofErr w:type="spellEnd"/>
            <w:r w:rsidRPr="00C454F5">
              <w:rPr>
                <w:sz w:val="22"/>
                <w:szCs w:val="22"/>
                <w:lang w:val="lt-LT"/>
              </w:rPr>
              <w:t xml:space="preserve"> 5 </w:t>
            </w:r>
            <w:proofErr w:type="spellStart"/>
            <w:r w:rsidRPr="00C454F5">
              <w:rPr>
                <w:sz w:val="22"/>
                <w:szCs w:val="22"/>
                <w:lang w:val="lt-LT"/>
              </w:rPr>
              <w:t>years</w:t>
            </w:r>
            <w:proofErr w:type="spellEnd"/>
          </w:p>
        </w:tc>
      </w:tr>
      <w:tr w:rsidR="009E3435" w:rsidRPr="00C454F5" w:rsidTr="00C45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9E3435" w:rsidRPr="00C454F5" w:rsidRDefault="00DA4219" w:rsidP="00DA4219">
            <w:pPr>
              <w:rPr>
                <w:sz w:val="22"/>
                <w:szCs w:val="22"/>
                <w:lang w:val="lt-LT"/>
              </w:rPr>
            </w:pPr>
            <w:r w:rsidRPr="00C454F5">
              <w:rPr>
                <w:sz w:val="22"/>
                <w:szCs w:val="22"/>
                <w:lang w:val="lt-LT"/>
              </w:rPr>
              <w:t>Darius Staliūnas</w:t>
            </w:r>
          </w:p>
          <w:p w:rsidR="009E3435" w:rsidRPr="00C454F5" w:rsidRDefault="009E3435" w:rsidP="00FC19CA">
            <w:pPr>
              <w:jc w:val="center"/>
              <w:rPr>
                <w:sz w:val="22"/>
                <w:szCs w:val="22"/>
                <w:lang w:val="lt-LT"/>
              </w:rPr>
            </w:pPr>
          </w:p>
        </w:tc>
        <w:tc>
          <w:tcPr>
            <w:tcW w:w="1701" w:type="dxa"/>
            <w:tcBorders>
              <w:left w:val="single" w:sz="12" w:space="0" w:color="auto"/>
            </w:tcBorders>
          </w:tcPr>
          <w:p w:rsidR="009E3435" w:rsidRPr="00C454F5" w:rsidRDefault="00DA4219">
            <w:pPr>
              <w:jc w:val="center"/>
              <w:rPr>
                <w:sz w:val="22"/>
                <w:szCs w:val="22"/>
                <w:lang w:val="lt-LT"/>
              </w:rPr>
            </w:pPr>
            <w:r w:rsidRPr="00C454F5">
              <w:rPr>
                <w:sz w:val="22"/>
                <w:szCs w:val="22"/>
                <w:lang w:val="lt-LT"/>
              </w:rPr>
              <w:t>Dr.</w:t>
            </w:r>
          </w:p>
        </w:tc>
        <w:tc>
          <w:tcPr>
            <w:tcW w:w="4643" w:type="dxa"/>
            <w:tcBorders>
              <w:left w:val="single" w:sz="12" w:space="0" w:color="auto"/>
              <w:right w:val="single" w:sz="12" w:space="0" w:color="auto"/>
            </w:tcBorders>
          </w:tcPr>
          <w:p w:rsidR="00DA4219" w:rsidRPr="00C454F5" w:rsidRDefault="00DA4219" w:rsidP="00DA4219">
            <w:pPr>
              <w:rPr>
                <w:sz w:val="22"/>
                <w:szCs w:val="22"/>
                <w:lang w:val="en-US"/>
              </w:rPr>
            </w:pPr>
            <w:r w:rsidRPr="00C454F5">
              <w:rPr>
                <w:sz w:val="22"/>
                <w:szCs w:val="22"/>
                <w:lang w:val="en-US"/>
              </w:rPr>
              <w:t xml:space="preserve">Affirmative Action in the Western Borderlands of the Late Russian </w:t>
            </w:r>
            <w:proofErr w:type="gramStart"/>
            <w:r w:rsidRPr="00C454F5">
              <w:rPr>
                <w:sz w:val="22"/>
                <w:szCs w:val="22"/>
                <w:lang w:val="en-US"/>
              </w:rPr>
              <w:t>Empire?,</w:t>
            </w:r>
            <w:proofErr w:type="gramEnd"/>
            <w:r w:rsidRPr="00C454F5">
              <w:rPr>
                <w:sz w:val="22"/>
                <w:szCs w:val="22"/>
                <w:lang w:val="en-US"/>
              </w:rPr>
              <w:t xml:space="preserve"> </w:t>
            </w:r>
            <w:r w:rsidRPr="00C454F5">
              <w:rPr>
                <w:i/>
                <w:sz w:val="22"/>
                <w:szCs w:val="22"/>
                <w:lang w:val="en-US"/>
              </w:rPr>
              <w:t xml:space="preserve">Slavic Review </w:t>
            </w:r>
            <w:r w:rsidRPr="00C454F5">
              <w:rPr>
                <w:sz w:val="22"/>
                <w:szCs w:val="22"/>
                <w:lang w:val="en-US"/>
              </w:rPr>
              <w:t>77/4 (2018): 978-997</w:t>
            </w:r>
          </w:p>
          <w:p w:rsidR="00DA4219" w:rsidRPr="00C454F5" w:rsidRDefault="00DA4219">
            <w:pPr>
              <w:jc w:val="both"/>
              <w:rPr>
                <w:sz w:val="22"/>
                <w:szCs w:val="22"/>
                <w:lang w:val="en-US"/>
              </w:rPr>
            </w:pPr>
            <w:r w:rsidRPr="00C454F5">
              <w:rPr>
                <w:sz w:val="22"/>
                <w:szCs w:val="22"/>
                <w:lang w:val="en-US"/>
              </w:rPr>
              <w:t xml:space="preserve"> </w:t>
            </w:r>
          </w:p>
          <w:p w:rsidR="009E3435" w:rsidRPr="00C454F5" w:rsidRDefault="00DA4219">
            <w:pPr>
              <w:jc w:val="both"/>
              <w:rPr>
                <w:sz w:val="22"/>
                <w:szCs w:val="22"/>
                <w:lang w:val="en-US"/>
              </w:rPr>
            </w:pPr>
            <w:r w:rsidRPr="00C454F5">
              <w:rPr>
                <w:i/>
                <w:sz w:val="22"/>
                <w:szCs w:val="22"/>
              </w:rPr>
              <w:t xml:space="preserve">The History of Jews in Lithuania. From the Middle Ages to the 1990s </w:t>
            </w:r>
            <w:r w:rsidRPr="00C454F5">
              <w:rPr>
                <w:sz w:val="22"/>
                <w:szCs w:val="22"/>
              </w:rPr>
              <w:t xml:space="preserve">(Paderborn: Ferdinand </w:t>
            </w:r>
            <w:proofErr w:type="spellStart"/>
            <w:r w:rsidRPr="00C454F5">
              <w:rPr>
                <w:sz w:val="22"/>
                <w:szCs w:val="22"/>
              </w:rPr>
              <w:t>Schöningh</w:t>
            </w:r>
            <w:proofErr w:type="spellEnd"/>
            <w:r w:rsidRPr="00C454F5">
              <w:rPr>
                <w:sz w:val="22"/>
                <w:szCs w:val="22"/>
              </w:rPr>
              <w:t xml:space="preserve">: 2020), </w:t>
            </w:r>
            <w:proofErr w:type="spellStart"/>
            <w:r w:rsidRPr="00C454F5">
              <w:rPr>
                <w:sz w:val="22"/>
                <w:szCs w:val="22"/>
              </w:rPr>
              <w:t>sudarytojas</w:t>
            </w:r>
            <w:proofErr w:type="spellEnd"/>
            <w:r w:rsidRPr="00C454F5">
              <w:rPr>
                <w:sz w:val="22"/>
                <w:szCs w:val="22"/>
              </w:rPr>
              <w:t xml:space="preserve"> </w:t>
            </w:r>
            <w:proofErr w:type="spellStart"/>
            <w:r w:rsidRPr="00C454F5">
              <w:rPr>
                <w:sz w:val="22"/>
                <w:szCs w:val="22"/>
              </w:rPr>
              <w:t>kartu</w:t>
            </w:r>
            <w:proofErr w:type="spellEnd"/>
            <w:r w:rsidRPr="00C454F5">
              <w:rPr>
                <w:sz w:val="22"/>
                <w:szCs w:val="22"/>
              </w:rPr>
              <w:t xml:space="preserve"> </w:t>
            </w:r>
            <w:proofErr w:type="spellStart"/>
            <w:r w:rsidRPr="00C454F5">
              <w:rPr>
                <w:sz w:val="22"/>
                <w:szCs w:val="22"/>
              </w:rPr>
              <w:t>su</w:t>
            </w:r>
            <w:proofErr w:type="spellEnd"/>
            <w:r w:rsidRPr="00C454F5">
              <w:rPr>
                <w:sz w:val="22"/>
                <w:szCs w:val="22"/>
              </w:rPr>
              <w:t xml:space="preserve"> V. </w:t>
            </w:r>
            <w:proofErr w:type="spellStart"/>
            <w:r w:rsidRPr="00C454F5">
              <w:rPr>
                <w:sz w:val="22"/>
                <w:szCs w:val="22"/>
              </w:rPr>
              <w:t>Sirutavičiumi</w:t>
            </w:r>
            <w:proofErr w:type="spellEnd"/>
            <w:r w:rsidRPr="00C454F5">
              <w:rPr>
                <w:sz w:val="22"/>
                <w:szCs w:val="22"/>
              </w:rPr>
              <w:t xml:space="preserve"> </w:t>
            </w:r>
            <w:proofErr w:type="spellStart"/>
            <w:r w:rsidRPr="00C454F5">
              <w:rPr>
                <w:sz w:val="22"/>
                <w:szCs w:val="22"/>
              </w:rPr>
              <w:t>ir</w:t>
            </w:r>
            <w:proofErr w:type="spellEnd"/>
            <w:r w:rsidRPr="00C454F5">
              <w:rPr>
                <w:sz w:val="22"/>
                <w:szCs w:val="22"/>
              </w:rPr>
              <w:t xml:space="preserve"> J. </w:t>
            </w:r>
            <w:proofErr w:type="spellStart"/>
            <w:r w:rsidRPr="00C454F5">
              <w:rPr>
                <w:sz w:val="22"/>
                <w:szCs w:val="22"/>
              </w:rPr>
              <w:t>Verbickiene</w:t>
            </w:r>
            <w:proofErr w:type="spellEnd"/>
          </w:p>
          <w:p w:rsidR="009E3435" w:rsidRPr="00C454F5" w:rsidRDefault="009E3435">
            <w:pPr>
              <w:jc w:val="both"/>
              <w:rPr>
                <w:sz w:val="22"/>
                <w:szCs w:val="22"/>
                <w:lang w:val="lt-LT"/>
              </w:rPr>
            </w:pPr>
          </w:p>
          <w:p w:rsidR="009E3435" w:rsidRPr="00C454F5" w:rsidRDefault="00C454F5">
            <w:pPr>
              <w:jc w:val="both"/>
              <w:rPr>
                <w:sz w:val="22"/>
                <w:szCs w:val="22"/>
                <w:lang w:val="lt-LT"/>
              </w:rPr>
            </w:pPr>
            <w:r w:rsidRPr="00C454F5">
              <w:rPr>
                <w:sz w:val="22"/>
                <w:szCs w:val="22"/>
              </w:rPr>
              <w:t xml:space="preserve">Spatial Concepts of Lithuania in the Long Nineteenth Century, edited by Darius </w:t>
            </w:r>
            <w:proofErr w:type="spellStart"/>
            <w:r w:rsidRPr="00C454F5">
              <w:rPr>
                <w:sz w:val="22"/>
                <w:szCs w:val="22"/>
              </w:rPr>
              <w:t>Staliūnas</w:t>
            </w:r>
            <w:proofErr w:type="spellEnd"/>
            <w:r w:rsidRPr="00C454F5">
              <w:rPr>
                <w:sz w:val="22"/>
                <w:szCs w:val="22"/>
              </w:rPr>
              <w:t>, Boston: Academic Studies Press, 2016</w:t>
            </w:r>
          </w:p>
          <w:p w:rsidR="009E3435" w:rsidRPr="00C454F5" w:rsidRDefault="009E3435" w:rsidP="00C97DFD">
            <w:pPr>
              <w:jc w:val="both"/>
              <w:rPr>
                <w:sz w:val="22"/>
                <w:szCs w:val="22"/>
                <w:lang w:val="lt-LT"/>
              </w:rPr>
            </w:pPr>
          </w:p>
        </w:tc>
      </w:tr>
      <w:tr w:rsidR="00A965CE" w:rsidRPr="00C454F5" w:rsidTr="00C454F5">
        <w:tc>
          <w:tcPr>
            <w:tcW w:w="9286" w:type="dxa"/>
            <w:gridSpan w:val="3"/>
          </w:tcPr>
          <w:p w:rsidR="009404F1" w:rsidRPr="00C454F5" w:rsidRDefault="009404F1" w:rsidP="009404F1">
            <w:pPr>
              <w:pStyle w:val="TableParagraph"/>
              <w:ind w:right="163"/>
            </w:pPr>
            <w:proofErr w:type="spellStart"/>
            <w:r w:rsidRPr="00C454F5">
              <w:t>Approved</w:t>
            </w:r>
            <w:proofErr w:type="spellEnd"/>
            <w:r w:rsidRPr="00C454F5">
              <w:t xml:space="preserve"> </w:t>
            </w:r>
            <w:proofErr w:type="spellStart"/>
            <w:r w:rsidRPr="00C454F5">
              <w:t>by</w:t>
            </w:r>
            <w:proofErr w:type="spellEnd"/>
            <w:r w:rsidRPr="00C454F5">
              <w:t xml:space="preserve"> </w:t>
            </w:r>
            <w:proofErr w:type="spellStart"/>
            <w:r w:rsidRPr="00C454F5">
              <w:t>the</w:t>
            </w:r>
            <w:proofErr w:type="spellEnd"/>
            <w:r w:rsidRPr="00C454F5">
              <w:t xml:space="preserve"> </w:t>
            </w:r>
            <w:proofErr w:type="spellStart"/>
            <w:r w:rsidRPr="00C454F5">
              <w:t>Doctoral</w:t>
            </w:r>
            <w:proofErr w:type="spellEnd"/>
            <w:r w:rsidRPr="00C454F5">
              <w:t xml:space="preserve"> </w:t>
            </w:r>
            <w:proofErr w:type="spellStart"/>
            <w:r w:rsidRPr="00C454F5">
              <w:t>Committee</w:t>
            </w:r>
            <w:proofErr w:type="spellEnd"/>
            <w:r w:rsidRPr="00C454F5">
              <w:t xml:space="preserve"> </w:t>
            </w:r>
            <w:proofErr w:type="spellStart"/>
            <w:r w:rsidRPr="00C454F5">
              <w:t>of</w:t>
            </w:r>
            <w:proofErr w:type="spellEnd"/>
            <w:r w:rsidRPr="00C454F5">
              <w:t xml:space="preserve"> </w:t>
            </w:r>
            <w:proofErr w:type="spellStart"/>
            <w:r w:rsidRPr="00C454F5">
              <w:t>History</w:t>
            </w:r>
            <w:proofErr w:type="spellEnd"/>
            <w:r w:rsidRPr="00C454F5">
              <w:t xml:space="preserve"> </w:t>
            </w:r>
            <w:proofErr w:type="spellStart"/>
            <w:r w:rsidRPr="00C454F5">
              <w:t>and</w:t>
            </w:r>
            <w:proofErr w:type="spellEnd"/>
            <w:r w:rsidRPr="00C454F5">
              <w:t xml:space="preserve"> </w:t>
            </w:r>
            <w:proofErr w:type="spellStart"/>
            <w:r w:rsidRPr="00C454F5">
              <w:t>Archaeology</w:t>
            </w:r>
            <w:proofErr w:type="spellEnd"/>
            <w:r w:rsidRPr="00C454F5">
              <w:t xml:space="preserve"> </w:t>
            </w:r>
          </w:p>
          <w:p w:rsidR="00A965CE" w:rsidRPr="00C454F5" w:rsidRDefault="009404F1" w:rsidP="00C31F08">
            <w:pPr>
              <w:pStyle w:val="TableParagraph"/>
              <w:tabs>
                <w:tab w:val="left" w:pos="7546"/>
                <w:tab w:val="left" w:pos="8094"/>
              </w:tabs>
              <w:spacing w:before="7" w:line="247" w:lineRule="auto"/>
              <w:ind w:right="142"/>
            </w:pPr>
            <w:r w:rsidRPr="00C454F5">
              <w:t xml:space="preserve">28 </w:t>
            </w:r>
            <w:proofErr w:type="spellStart"/>
            <w:r w:rsidRPr="00C454F5">
              <w:t>September</w:t>
            </w:r>
            <w:proofErr w:type="spellEnd"/>
            <w:r w:rsidRPr="00C454F5">
              <w:t xml:space="preserve"> 2021, </w:t>
            </w:r>
            <w:proofErr w:type="spellStart"/>
            <w:r w:rsidRPr="00C454F5">
              <w:t>No</w:t>
            </w:r>
            <w:proofErr w:type="spellEnd"/>
            <w:r w:rsidRPr="00C454F5">
              <w:t xml:space="preserve"> 170000-KT-47.</w:t>
            </w:r>
          </w:p>
        </w:tc>
      </w:tr>
      <w:tr w:rsidR="00A965CE" w:rsidRPr="00C454F5" w:rsidTr="00C454F5">
        <w:tc>
          <w:tcPr>
            <w:tcW w:w="9286" w:type="dxa"/>
            <w:gridSpan w:val="3"/>
          </w:tcPr>
          <w:p w:rsidR="00A965CE" w:rsidRPr="00C454F5" w:rsidRDefault="00B72167" w:rsidP="00A965CE">
            <w:pPr>
              <w:spacing w:before="120" w:after="120"/>
              <w:rPr>
                <w:sz w:val="22"/>
                <w:szCs w:val="22"/>
                <w:lang w:val="lt-LT"/>
              </w:rPr>
            </w:pPr>
            <w:r w:rsidRPr="00C454F5">
              <w:rPr>
                <w:sz w:val="22"/>
                <w:szCs w:val="22"/>
              </w:rPr>
              <w:t xml:space="preserve">Chair of the Doctoral Committee Prof. </w:t>
            </w:r>
            <w:proofErr w:type="spellStart"/>
            <w:r w:rsidRPr="00C454F5">
              <w:rPr>
                <w:sz w:val="22"/>
                <w:szCs w:val="22"/>
              </w:rPr>
              <w:t>habil</w:t>
            </w:r>
            <w:proofErr w:type="spellEnd"/>
            <w:r w:rsidRPr="00C454F5">
              <w:rPr>
                <w:sz w:val="22"/>
                <w:szCs w:val="22"/>
              </w:rPr>
              <w:t>.</w:t>
            </w:r>
            <w:r w:rsidR="00862EAA" w:rsidRPr="00C454F5">
              <w:rPr>
                <w:sz w:val="22"/>
                <w:szCs w:val="22"/>
              </w:rPr>
              <w:t xml:space="preserve"> </w:t>
            </w:r>
            <w:r w:rsidRPr="00C454F5">
              <w:rPr>
                <w:sz w:val="22"/>
                <w:szCs w:val="22"/>
              </w:rPr>
              <w:t xml:space="preserve">dr. Tamara </w:t>
            </w:r>
            <w:proofErr w:type="spellStart"/>
            <w:r w:rsidRPr="00C454F5">
              <w:rPr>
                <w:sz w:val="22"/>
                <w:szCs w:val="22"/>
              </w:rPr>
              <w:t>Bairašauskaitė</w:t>
            </w:r>
            <w:proofErr w:type="spellEnd"/>
            <w:r w:rsidRPr="00C454F5">
              <w:rPr>
                <w:sz w:val="22"/>
                <w:szCs w:val="22"/>
              </w:rPr>
              <w:t xml:space="preserve"> </w:t>
            </w:r>
          </w:p>
        </w:tc>
      </w:tr>
      <w:bookmarkEnd w:id="0"/>
    </w:tbl>
    <w:p w:rsidR="002D3C12" w:rsidRPr="00C454F5" w:rsidRDefault="002D3C12" w:rsidP="00600C1B">
      <w:pPr>
        <w:rPr>
          <w:sz w:val="22"/>
          <w:szCs w:val="22"/>
          <w:lang w:val="lt-LT"/>
        </w:rPr>
      </w:pPr>
    </w:p>
    <w:sectPr w:rsidR="002D3C12" w:rsidRPr="00C454F5">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B78B5"/>
    <w:rsid w:val="000F6CFD"/>
    <w:rsid w:val="001218B6"/>
    <w:rsid w:val="001727DA"/>
    <w:rsid w:val="001D0C4D"/>
    <w:rsid w:val="00216D07"/>
    <w:rsid w:val="00252CBA"/>
    <w:rsid w:val="002D3C12"/>
    <w:rsid w:val="002D7AD1"/>
    <w:rsid w:val="003171A5"/>
    <w:rsid w:val="0032414F"/>
    <w:rsid w:val="0035258E"/>
    <w:rsid w:val="00354267"/>
    <w:rsid w:val="004B2BA4"/>
    <w:rsid w:val="005A243D"/>
    <w:rsid w:val="005A3568"/>
    <w:rsid w:val="00600C1B"/>
    <w:rsid w:val="00654E78"/>
    <w:rsid w:val="007132E2"/>
    <w:rsid w:val="00745232"/>
    <w:rsid w:val="007A674B"/>
    <w:rsid w:val="007E5C78"/>
    <w:rsid w:val="00862EAA"/>
    <w:rsid w:val="00875171"/>
    <w:rsid w:val="00883F45"/>
    <w:rsid w:val="008C68EE"/>
    <w:rsid w:val="009404F1"/>
    <w:rsid w:val="009708B7"/>
    <w:rsid w:val="009844CC"/>
    <w:rsid w:val="009E3435"/>
    <w:rsid w:val="00A965CE"/>
    <w:rsid w:val="00B65DF1"/>
    <w:rsid w:val="00B72167"/>
    <w:rsid w:val="00C309D5"/>
    <w:rsid w:val="00C31F08"/>
    <w:rsid w:val="00C454F5"/>
    <w:rsid w:val="00C743B6"/>
    <w:rsid w:val="00CA6702"/>
    <w:rsid w:val="00D00EBD"/>
    <w:rsid w:val="00D70EFD"/>
    <w:rsid w:val="00D83738"/>
    <w:rsid w:val="00DA4219"/>
    <w:rsid w:val="00ED2DF9"/>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DD78"/>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styleId="Strong">
    <w:name w:val="Strong"/>
    <w:uiPriority w:val="22"/>
    <w:qFormat/>
    <w:rsid w:val="009E3435"/>
    <w:rPr>
      <w:b/>
      <w:bCs/>
    </w:rPr>
  </w:style>
  <w:style w:type="character" w:styleId="Emphasis">
    <w:name w:val="Emphasis"/>
    <w:uiPriority w:val="20"/>
    <w:qFormat/>
    <w:rsid w:val="009E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2512</Words>
  <Characters>1433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12</cp:revision>
  <cp:lastPrinted>2012-04-27T08:36:00Z</cp:lastPrinted>
  <dcterms:created xsi:type="dcterms:W3CDTF">2022-05-09T10:22:00Z</dcterms:created>
  <dcterms:modified xsi:type="dcterms:W3CDTF">2022-09-02T09:49:00Z</dcterms:modified>
</cp:coreProperties>
</file>