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C12" w:rsidRPr="001218B6" w:rsidRDefault="004B2BA4">
      <w:pPr>
        <w:tabs>
          <w:tab w:val="left" w:pos="1843"/>
        </w:tabs>
        <w:spacing w:after="120"/>
        <w:jc w:val="center"/>
        <w:rPr>
          <w:b/>
          <w:sz w:val="22"/>
          <w:szCs w:val="22"/>
          <w:lang w:val="lt-LT"/>
        </w:rPr>
      </w:pPr>
      <w:r w:rsidRPr="001218B6">
        <w:rPr>
          <w:b/>
          <w:sz w:val="22"/>
          <w:szCs w:val="22"/>
          <w:lang w:val="lt-LT"/>
        </w:rPr>
        <w:t>DOCTORAL SUBJECT SUB-UNIT</w:t>
      </w:r>
    </w:p>
    <w:tbl>
      <w:tblPr>
        <w:tblW w:w="93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1985"/>
        <w:gridCol w:w="1984"/>
        <w:gridCol w:w="1843"/>
      </w:tblGrid>
      <w:tr w:rsidR="002D3C12" w:rsidRPr="00495B33" w:rsidTr="00654E78">
        <w:tc>
          <w:tcPr>
            <w:tcW w:w="3510" w:type="dxa"/>
            <w:tcBorders>
              <w:top w:val="single" w:sz="12" w:space="0" w:color="auto"/>
              <w:left w:val="single" w:sz="12" w:space="0" w:color="auto"/>
              <w:bottom w:val="single" w:sz="12" w:space="0" w:color="auto"/>
              <w:right w:val="single" w:sz="12" w:space="0" w:color="auto"/>
            </w:tcBorders>
            <w:shd w:val="clear" w:color="auto" w:fill="F2F2F2"/>
          </w:tcPr>
          <w:p w:rsidR="002D3C12" w:rsidRPr="00495B33" w:rsidRDefault="007E5C78">
            <w:pPr>
              <w:rPr>
                <w:sz w:val="22"/>
                <w:szCs w:val="22"/>
                <w:lang w:val="lt-LT"/>
              </w:rPr>
            </w:pPr>
            <w:bookmarkStart w:id="0" w:name="_GoBack"/>
            <w:proofErr w:type="spellStart"/>
            <w:r w:rsidRPr="00495B33">
              <w:rPr>
                <w:sz w:val="22"/>
                <w:szCs w:val="22"/>
                <w:lang w:val="lt-LT"/>
              </w:rPr>
              <w:t>Subject</w:t>
            </w:r>
            <w:proofErr w:type="spellEnd"/>
            <w:r w:rsidRPr="00495B33">
              <w:rPr>
                <w:sz w:val="22"/>
                <w:szCs w:val="22"/>
                <w:lang w:val="lt-LT"/>
              </w:rPr>
              <w:t xml:space="preserve"> name</w:t>
            </w:r>
          </w:p>
        </w:tc>
        <w:tc>
          <w:tcPr>
            <w:tcW w:w="1985" w:type="dxa"/>
            <w:tcBorders>
              <w:top w:val="single" w:sz="12" w:space="0" w:color="auto"/>
              <w:left w:val="single" w:sz="12" w:space="0" w:color="auto"/>
              <w:bottom w:val="single" w:sz="12" w:space="0" w:color="auto"/>
              <w:right w:val="single" w:sz="12" w:space="0" w:color="auto"/>
            </w:tcBorders>
            <w:shd w:val="clear" w:color="auto" w:fill="F2F2F2"/>
          </w:tcPr>
          <w:p w:rsidR="002D3C12" w:rsidRPr="00495B33" w:rsidRDefault="001727DA">
            <w:pPr>
              <w:rPr>
                <w:sz w:val="22"/>
                <w:szCs w:val="22"/>
                <w:lang w:val="lt-LT"/>
              </w:rPr>
            </w:pPr>
            <w:proofErr w:type="spellStart"/>
            <w:r w:rsidRPr="00495B33">
              <w:rPr>
                <w:sz w:val="22"/>
                <w:szCs w:val="22"/>
                <w:lang w:val="lt-LT"/>
              </w:rPr>
              <w:t>Field</w:t>
            </w:r>
            <w:proofErr w:type="spellEnd"/>
            <w:r w:rsidRPr="00495B33">
              <w:rPr>
                <w:sz w:val="22"/>
                <w:szCs w:val="22"/>
                <w:lang w:val="lt-LT"/>
              </w:rPr>
              <w:t xml:space="preserve"> </w:t>
            </w:r>
            <w:proofErr w:type="spellStart"/>
            <w:r w:rsidRPr="00495B33">
              <w:rPr>
                <w:sz w:val="22"/>
                <w:szCs w:val="22"/>
                <w:lang w:val="lt-LT"/>
              </w:rPr>
              <w:t>of</w:t>
            </w:r>
            <w:proofErr w:type="spellEnd"/>
            <w:r w:rsidRPr="00495B33">
              <w:rPr>
                <w:sz w:val="22"/>
                <w:szCs w:val="22"/>
                <w:lang w:val="lt-LT"/>
              </w:rPr>
              <w:t xml:space="preserve"> </w:t>
            </w:r>
            <w:proofErr w:type="spellStart"/>
            <w:r w:rsidRPr="00495B33">
              <w:rPr>
                <w:sz w:val="22"/>
                <w:szCs w:val="22"/>
                <w:lang w:val="lt-LT"/>
              </w:rPr>
              <w:t>study</w:t>
            </w:r>
            <w:proofErr w:type="spellEnd"/>
            <w:r w:rsidRPr="00495B33">
              <w:rPr>
                <w:sz w:val="22"/>
                <w:szCs w:val="22"/>
                <w:lang w:val="lt-LT"/>
              </w:rPr>
              <w:t xml:space="preserve"> (</w:t>
            </w:r>
            <w:proofErr w:type="spellStart"/>
            <w:r w:rsidRPr="00495B33">
              <w:rPr>
                <w:sz w:val="22"/>
                <w:szCs w:val="22"/>
                <w:lang w:val="lt-LT"/>
              </w:rPr>
              <w:t>branch</w:t>
            </w:r>
            <w:proofErr w:type="spellEnd"/>
            <w:r w:rsidRPr="00495B33">
              <w:rPr>
                <w:sz w:val="22"/>
                <w:szCs w:val="22"/>
                <w:lang w:val="lt-LT"/>
              </w:rPr>
              <w:t xml:space="preserve">) </w:t>
            </w:r>
            <w:proofErr w:type="spellStart"/>
            <w:r w:rsidRPr="00495B33">
              <w:rPr>
                <w:sz w:val="22"/>
                <w:szCs w:val="22"/>
                <w:lang w:val="lt-LT"/>
              </w:rPr>
              <w:t>code</w:t>
            </w:r>
            <w:proofErr w:type="spellEnd"/>
          </w:p>
        </w:tc>
        <w:tc>
          <w:tcPr>
            <w:tcW w:w="1984" w:type="dxa"/>
            <w:tcBorders>
              <w:top w:val="single" w:sz="12" w:space="0" w:color="auto"/>
              <w:left w:val="single" w:sz="12" w:space="0" w:color="auto"/>
              <w:bottom w:val="single" w:sz="12" w:space="0" w:color="auto"/>
              <w:right w:val="single" w:sz="12" w:space="0" w:color="auto"/>
            </w:tcBorders>
            <w:shd w:val="clear" w:color="auto" w:fill="F2F2F2"/>
          </w:tcPr>
          <w:p w:rsidR="002D3C12" w:rsidRPr="00495B33" w:rsidRDefault="002D3C12">
            <w:pPr>
              <w:rPr>
                <w:sz w:val="22"/>
                <w:szCs w:val="22"/>
                <w:lang w:val="lt-LT"/>
              </w:rPr>
            </w:pPr>
            <w:proofErr w:type="spellStart"/>
            <w:r w:rsidRPr="00495B33">
              <w:rPr>
                <w:sz w:val="22"/>
                <w:szCs w:val="22"/>
                <w:lang w:val="lt-LT"/>
              </w:rPr>
              <w:t>Fa</w:t>
            </w:r>
            <w:r w:rsidR="00C743B6" w:rsidRPr="00495B33">
              <w:rPr>
                <w:sz w:val="22"/>
                <w:szCs w:val="22"/>
                <w:lang w:val="lt-LT"/>
              </w:rPr>
              <w:t>culty</w:t>
            </w:r>
            <w:proofErr w:type="spellEnd"/>
          </w:p>
        </w:tc>
        <w:tc>
          <w:tcPr>
            <w:tcW w:w="1843" w:type="dxa"/>
            <w:tcBorders>
              <w:top w:val="single" w:sz="12" w:space="0" w:color="auto"/>
              <w:left w:val="single" w:sz="12" w:space="0" w:color="auto"/>
              <w:bottom w:val="single" w:sz="12" w:space="0" w:color="auto"/>
              <w:right w:val="single" w:sz="12" w:space="0" w:color="auto"/>
            </w:tcBorders>
            <w:shd w:val="clear" w:color="auto" w:fill="F2F2F2"/>
          </w:tcPr>
          <w:p w:rsidR="002D3C12" w:rsidRPr="00495B33" w:rsidRDefault="00C743B6">
            <w:pPr>
              <w:rPr>
                <w:sz w:val="22"/>
                <w:szCs w:val="22"/>
                <w:lang w:val="lt-LT"/>
              </w:rPr>
            </w:pPr>
            <w:proofErr w:type="spellStart"/>
            <w:r w:rsidRPr="00495B33">
              <w:rPr>
                <w:sz w:val="22"/>
                <w:szCs w:val="22"/>
                <w:lang w:val="lt-LT"/>
              </w:rPr>
              <w:t>Department</w:t>
            </w:r>
            <w:proofErr w:type="spellEnd"/>
          </w:p>
        </w:tc>
      </w:tr>
      <w:tr w:rsidR="00654E78" w:rsidRPr="00495B33" w:rsidTr="00654E78">
        <w:tc>
          <w:tcPr>
            <w:tcW w:w="3510" w:type="dxa"/>
            <w:tcBorders>
              <w:top w:val="single" w:sz="12" w:space="0" w:color="auto"/>
              <w:left w:val="single" w:sz="12" w:space="0" w:color="auto"/>
              <w:bottom w:val="single" w:sz="12" w:space="0" w:color="auto"/>
              <w:right w:val="single" w:sz="12" w:space="0" w:color="auto"/>
            </w:tcBorders>
          </w:tcPr>
          <w:p w:rsidR="00634D66" w:rsidRPr="00495B33" w:rsidRDefault="00634D66" w:rsidP="00634D66">
            <w:pPr>
              <w:rPr>
                <w:b/>
                <w:sz w:val="22"/>
                <w:szCs w:val="22"/>
              </w:rPr>
            </w:pPr>
            <w:r w:rsidRPr="00495B33">
              <w:rPr>
                <w:b/>
                <w:sz w:val="22"/>
                <w:szCs w:val="22"/>
              </w:rPr>
              <w:t xml:space="preserve">The Modernization of Society in the 19th Century (Imperial Model) </w:t>
            </w:r>
          </w:p>
          <w:p w:rsidR="00654E78" w:rsidRPr="00495B33" w:rsidRDefault="00654E78">
            <w:pPr>
              <w:rPr>
                <w:sz w:val="22"/>
                <w:szCs w:val="22"/>
                <w:lang w:val="lt-LT"/>
              </w:rPr>
            </w:pPr>
          </w:p>
        </w:tc>
        <w:tc>
          <w:tcPr>
            <w:tcW w:w="1985" w:type="dxa"/>
            <w:tcBorders>
              <w:top w:val="single" w:sz="12" w:space="0" w:color="auto"/>
              <w:left w:val="single" w:sz="12" w:space="0" w:color="auto"/>
              <w:bottom w:val="single" w:sz="12" w:space="0" w:color="auto"/>
              <w:right w:val="single" w:sz="12" w:space="0" w:color="auto"/>
            </w:tcBorders>
          </w:tcPr>
          <w:p w:rsidR="000F6CFD" w:rsidRPr="00495B33" w:rsidRDefault="000F6CFD" w:rsidP="000F6CFD">
            <w:pPr>
              <w:rPr>
                <w:sz w:val="22"/>
                <w:szCs w:val="22"/>
              </w:rPr>
            </w:pPr>
            <w:r w:rsidRPr="00495B33">
              <w:rPr>
                <w:sz w:val="22"/>
                <w:szCs w:val="22"/>
              </w:rPr>
              <w:t xml:space="preserve">History and Archaeology </w:t>
            </w:r>
          </w:p>
          <w:p w:rsidR="00654E78" w:rsidRPr="00495B33" w:rsidRDefault="000F6CFD" w:rsidP="000F6CFD">
            <w:pPr>
              <w:rPr>
                <w:sz w:val="22"/>
                <w:szCs w:val="22"/>
                <w:lang w:val="lt-LT"/>
              </w:rPr>
            </w:pPr>
            <w:r w:rsidRPr="00495B33">
              <w:rPr>
                <w:sz w:val="22"/>
                <w:szCs w:val="22"/>
              </w:rPr>
              <w:t>H 005</w:t>
            </w:r>
          </w:p>
        </w:tc>
        <w:tc>
          <w:tcPr>
            <w:tcW w:w="1984" w:type="dxa"/>
            <w:tcBorders>
              <w:top w:val="single" w:sz="12" w:space="0" w:color="auto"/>
              <w:left w:val="single" w:sz="12" w:space="0" w:color="auto"/>
              <w:bottom w:val="single" w:sz="12" w:space="0" w:color="auto"/>
              <w:right w:val="single" w:sz="12" w:space="0" w:color="auto"/>
            </w:tcBorders>
          </w:tcPr>
          <w:p w:rsidR="00654E78" w:rsidRPr="00495B33" w:rsidRDefault="000F6CFD">
            <w:pPr>
              <w:rPr>
                <w:sz w:val="22"/>
                <w:szCs w:val="22"/>
                <w:lang w:val="lt-LT"/>
              </w:rPr>
            </w:pPr>
            <w:proofErr w:type="spellStart"/>
            <w:r w:rsidRPr="00495B33">
              <w:rPr>
                <w:sz w:val="22"/>
                <w:szCs w:val="22"/>
                <w:lang w:val="lt-LT"/>
              </w:rPr>
              <w:t>Faculty</w:t>
            </w:r>
            <w:proofErr w:type="spellEnd"/>
            <w:r w:rsidRPr="00495B33">
              <w:rPr>
                <w:sz w:val="22"/>
                <w:szCs w:val="22"/>
                <w:lang w:val="lt-LT"/>
              </w:rPr>
              <w:t xml:space="preserve"> </w:t>
            </w:r>
            <w:proofErr w:type="spellStart"/>
            <w:r w:rsidRPr="00495B33">
              <w:rPr>
                <w:sz w:val="22"/>
                <w:szCs w:val="22"/>
                <w:lang w:val="lt-LT"/>
              </w:rPr>
              <w:t>of</w:t>
            </w:r>
            <w:proofErr w:type="spellEnd"/>
            <w:r w:rsidRPr="00495B33">
              <w:rPr>
                <w:sz w:val="22"/>
                <w:szCs w:val="22"/>
                <w:lang w:val="lt-LT"/>
              </w:rPr>
              <w:t xml:space="preserve"> </w:t>
            </w:r>
            <w:proofErr w:type="spellStart"/>
            <w:r w:rsidRPr="00495B33">
              <w:rPr>
                <w:sz w:val="22"/>
                <w:szCs w:val="22"/>
                <w:lang w:val="lt-LT"/>
              </w:rPr>
              <w:t>History</w:t>
            </w:r>
            <w:proofErr w:type="spellEnd"/>
          </w:p>
        </w:tc>
        <w:tc>
          <w:tcPr>
            <w:tcW w:w="1843" w:type="dxa"/>
            <w:tcBorders>
              <w:top w:val="single" w:sz="12" w:space="0" w:color="auto"/>
              <w:left w:val="single" w:sz="12" w:space="0" w:color="auto"/>
              <w:bottom w:val="single" w:sz="12" w:space="0" w:color="auto"/>
              <w:right w:val="single" w:sz="12" w:space="0" w:color="auto"/>
            </w:tcBorders>
          </w:tcPr>
          <w:p w:rsidR="00654E78" w:rsidRPr="00495B33" w:rsidRDefault="000F6CFD">
            <w:pPr>
              <w:rPr>
                <w:sz w:val="22"/>
                <w:szCs w:val="22"/>
              </w:rPr>
            </w:pPr>
            <w:r w:rsidRPr="00495B33">
              <w:rPr>
                <w:sz w:val="22"/>
                <w:szCs w:val="22"/>
              </w:rPr>
              <w:t>Department of</w:t>
            </w:r>
          </w:p>
          <w:p w:rsidR="00634D66" w:rsidRPr="00495B33" w:rsidRDefault="00634D66">
            <w:pPr>
              <w:rPr>
                <w:sz w:val="22"/>
                <w:szCs w:val="22"/>
              </w:rPr>
            </w:pPr>
            <w:r w:rsidRPr="00495B33">
              <w:rPr>
                <w:sz w:val="22"/>
                <w:szCs w:val="22"/>
              </w:rPr>
              <w:t>Theory of History and History of Culture</w:t>
            </w:r>
            <w:r w:rsidRPr="00495B33">
              <w:rPr>
                <w:sz w:val="22"/>
                <w:szCs w:val="22"/>
              </w:rPr>
              <w:t>/</w:t>
            </w:r>
          </w:p>
          <w:p w:rsidR="00634D66" w:rsidRPr="00495B33" w:rsidRDefault="00634D66">
            <w:pPr>
              <w:rPr>
                <w:sz w:val="22"/>
                <w:szCs w:val="22"/>
                <w:lang w:val="lt-LT"/>
              </w:rPr>
            </w:pPr>
            <w:r w:rsidRPr="00495B33">
              <w:rPr>
                <w:sz w:val="22"/>
                <w:szCs w:val="22"/>
                <w:shd w:val="clear" w:color="auto" w:fill="FFFFFF"/>
              </w:rPr>
              <w:t>Lithuanian Institute of History</w:t>
            </w:r>
          </w:p>
        </w:tc>
      </w:tr>
      <w:tr w:rsidR="00654E78" w:rsidRPr="00495B33" w:rsidTr="00654E78">
        <w:tc>
          <w:tcPr>
            <w:tcW w:w="9322" w:type="dxa"/>
            <w:gridSpan w:val="4"/>
            <w:tcBorders>
              <w:top w:val="single" w:sz="12" w:space="0" w:color="auto"/>
              <w:left w:val="single" w:sz="4" w:space="0" w:color="auto"/>
              <w:bottom w:val="double" w:sz="6" w:space="0" w:color="auto"/>
              <w:right w:val="nil"/>
            </w:tcBorders>
          </w:tcPr>
          <w:p w:rsidR="00654E78" w:rsidRPr="00495B33" w:rsidRDefault="00654E78">
            <w:pPr>
              <w:rPr>
                <w:sz w:val="22"/>
                <w:szCs w:val="22"/>
                <w:lang w:val="lt-LT"/>
              </w:rPr>
            </w:pPr>
          </w:p>
        </w:tc>
      </w:tr>
      <w:tr w:rsidR="002D3C12" w:rsidRPr="00495B33"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double" w:sz="6" w:space="0" w:color="auto"/>
              <w:bottom w:val="single" w:sz="12" w:space="0" w:color="auto"/>
            </w:tcBorders>
            <w:shd w:val="clear" w:color="auto" w:fill="F2F2F2"/>
          </w:tcPr>
          <w:p w:rsidR="002D3C12" w:rsidRPr="00495B33" w:rsidRDefault="00037733">
            <w:pPr>
              <w:rPr>
                <w:sz w:val="22"/>
                <w:szCs w:val="22"/>
                <w:lang w:val="lt-LT"/>
              </w:rPr>
            </w:pPr>
            <w:proofErr w:type="spellStart"/>
            <w:r w:rsidRPr="00495B33">
              <w:rPr>
                <w:sz w:val="22"/>
                <w:szCs w:val="22"/>
                <w:lang w:val="lt-LT"/>
              </w:rPr>
              <w:t>Mode</w:t>
            </w:r>
            <w:proofErr w:type="spellEnd"/>
            <w:r w:rsidRPr="00495B33">
              <w:rPr>
                <w:sz w:val="22"/>
                <w:szCs w:val="22"/>
                <w:lang w:val="lt-LT"/>
              </w:rPr>
              <w:t xml:space="preserve"> </w:t>
            </w:r>
            <w:proofErr w:type="spellStart"/>
            <w:r w:rsidRPr="00495B33">
              <w:rPr>
                <w:sz w:val="22"/>
                <w:szCs w:val="22"/>
                <w:lang w:val="lt-LT"/>
              </w:rPr>
              <w:t>of</w:t>
            </w:r>
            <w:proofErr w:type="spellEnd"/>
            <w:r w:rsidRPr="00495B33">
              <w:rPr>
                <w:sz w:val="22"/>
                <w:szCs w:val="22"/>
                <w:lang w:val="lt-LT"/>
              </w:rPr>
              <w:t xml:space="preserve"> </w:t>
            </w:r>
            <w:proofErr w:type="spellStart"/>
            <w:r w:rsidRPr="00495B33">
              <w:rPr>
                <w:sz w:val="22"/>
                <w:szCs w:val="22"/>
                <w:lang w:val="lt-LT"/>
              </w:rPr>
              <w:t>study</w:t>
            </w:r>
            <w:proofErr w:type="spellEnd"/>
          </w:p>
        </w:tc>
        <w:tc>
          <w:tcPr>
            <w:tcW w:w="1985" w:type="dxa"/>
            <w:tcBorders>
              <w:top w:val="double" w:sz="6" w:space="0" w:color="auto"/>
              <w:bottom w:val="single" w:sz="12" w:space="0" w:color="auto"/>
            </w:tcBorders>
            <w:shd w:val="clear" w:color="auto" w:fill="F2F2F2"/>
          </w:tcPr>
          <w:p w:rsidR="009844CC" w:rsidRPr="00495B33" w:rsidRDefault="00D70EFD">
            <w:pPr>
              <w:rPr>
                <w:sz w:val="22"/>
                <w:szCs w:val="22"/>
                <w:lang w:val="lt-LT"/>
              </w:rPr>
            </w:pPr>
            <w:proofErr w:type="spellStart"/>
            <w:r w:rsidRPr="00495B33">
              <w:rPr>
                <w:sz w:val="22"/>
                <w:szCs w:val="22"/>
                <w:lang w:val="lt-LT"/>
              </w:rPr>
              <w:t>Number</w:t>
            </w:r>
            <w:proofErr w:type="spellEnd"/>
            <w:r w:rsidRPr="00495B33">
              <w:rPr>
                <w:sz w:val="22"/>
                <w:szCs w:val="22"/>
                <w:lang w:val="lt-LT"/>
              </w:rPr>
              <w:t xml:space="preserve"> </w:t>
            </w:r>
            <w:proofErr w:type="spellStart"/>
            <w:r w:rsidRPr="00495B33">
              <w:rPr>
                <w:sz w:val="22"/>
                <w:szCs w:val="22"/>
                <w:lang w:val="lt-LT"/>
              </w:rPr>
              <w:t>of</w:t>
            </w:r>
            <w:proofErr w:type="spellEnd"/>
            <w:r w:rsidRPr="00495B33">
              <w:rPr>
                <w:sz w:val="22"/>
                <w:szCs w:val="22"/>
                <w:lang w:val="lt-LT"/>
              </w:rPr>
              <w:t xml:space="preserve"> </w:t>
            </w:r>
            <w:proofErr w:type="spellStart"/>
            <w:r w:rsidRPr="00495B33">
              <w:rPr>
                <w:sz w:val="22"/>
                <w:szCs w:val="22"/>
                <w:lang w:val="lt-LT"/>
              </w:rPr>
              <w:t>credits</w:t>
            </w:r>
            <w:proofErr w:type="spellEnd"/>
            <w:r w:rsidRPr="00495B33">
              <w:rPr>
                <w:sz w:val="22"/>
                <w:szCs w:val="22"/>
                <w:lang w:val="lt-LT"/>
              </w:rPr>
              <w:t xml:space="preserve"> </w:t>
            </w:r>
            <w:r w:rsidR="009844CC" w:rsidRPr="00495B33">
              <w:rPr>
                <w:sz w:val="22"/>
                <w:szCs w:val="22"/>
                <w:lang w:val="lt-LT"/>
              </w:rPr>
              <w:t>ECTS</w:t>
            </w:r>
          </w:p>
        </w:tc>
        <w:tc>
          <w:tcPr>
            <w:tcW w:w="1984" w:type="dxa"/>
            <w:tcBorders>
              <w:top w:val="double" w:sz="6" w:space="0" w:color="auto"/>
              <w:bottom w:val="single" w:sz="12" w:space="0" w:color="auto"/>
            </w:tcBorders>
            <w:shd w:val="clear" w:color="auto" w:fill="F2F2F2"/>
          </w:tcPr>
          <w:p w:rsidR="002D3C12" w:rsidRPr="00495B33" w:rsidRDefault="000F6CFD">
            <w:pPr>
              <w:rPr>
                <w:sz w:val="22"/>
                <w:szCs w:val="22"/>
                <w:lang w:val="lt-LT"/>
              </w:rPr>
            </w:pPr>
            <w:proofErr w:type="spellStart"/>
            <w:r w:rsidRPr="00495B33">
              <w:rPr>
                <w:sz w:val="22"/>
                <w:szCs w:val="22"/>
                <w:lang w:val="lt-LT"/>
              </w:rPr>
              <w:t>Mode</w:t>
            </w:r>
            <w:proofErr w:type="spellEnd"/>
            <w:r w:rsidRPr="00495B33">
              <w:rPr>
                <w:sz w:val="22"/>
                <w:szCs w:val="22"/>
                <w:lang w:val="lt-LT"/>
              </w:rPr>
              <w:t xml:space="preserve"> </w:t>
            </w:r>
            <w:proofErr w:type="spellStart"/>
            <w:r w:rsidRPr="00495B33">
              <w:rPr>
                <w:sz w:val="22"/>
                <w:szCs w:val="22"/>
                <w:lang w:val="lt-LT"/>
              </w:rPr>
              <w:t>of</w:t>
            </w:r>
            <w:proofErr w:type="spellEnd"/>
            <w:r w:rsidRPr="00495B33">
              <w:rPr>
                <w:sz w:val="22"/>
                <w:szCs w:val="22"/>
                <w:lang w:val="lt-LT"/>
              </w:rPr>
              <w:t xml:space="preserve"> </w:t>
            </w:r>
            <w:proofErr w:type="spellStart"/>
            <w:r w:rsidRPr="00495B33">
              <w:rPr>
                <w:sz w:val="22"/>
                <w:szCs w:val="22"/>
                <w:lang w:val="lt-LT"/>
              </w:rPr>
              <w:t>study</w:t>
            </w:r>
            <w:proofErr w:type="spellEnd"/>
          </w:p>
        </w:tc>
        <w:tc>
          <w:tcPr>
            <w:tcW w:w="1843" w:type="dxa"/>
            <w:tcBorders>
              <w:top w:val="double" w:sz="6" w:space="0" w:color="auto"/>
              <w:bottom w:val="single" w:sz="12" w:space="0" w:color="auto"/>
            </w:tcBorders>
            <w:shd w:val="clear" w:color="auto" w:fill="F2F2F2"/>
          </w:tcPr>
          <w:p w:rsidR="009708B7" w:rsidRPr="00495B33" w:rsidRDefault="00252CBA">
            <w:pPr>
              <w:rPr>
                <w:sz w:val="22"/>
                <w:szCs w:val="22"/>
                <w:lang w:val="lt-LT"/>
              </w:rPr>
            </w:pPr>
            <w:proofErr w:type="spellStart"/>
            <w:r w:rsidRPr="00495B33">
              <w:rPr>
                <w:sz w:val="22"/>
                <w:szCs w:val="22"/>
                <w:lang w:val="lt-LT"/>
              </w:rPr>
              <w:t>Number</w:t>
            </w:r>
            <w:proofErr w:type="spellEnd"/>
            <w:r w:rsidRPr="00495B33">
              <w:rPr>
                <w:sz w:val="22"/>
                <w:szCs w:val="22"/>
                <w:lang w:val="lt-LT"/>
              </w:rPr>
              <w:t xml:space="preserve"> </w:t>
            </w:r>
            <w:proofErr w:type="spellStart"/>
            <w:r w:rsidRPr="00495B33">
              <w:rPr>
                <w:sz w:val="22"/>
                <w:szCs w:val="22"/>
                <w:lang w:val="lt-LT"/>
              </w:rPr>
              <w:t>of</w:t>
            </w:r>
            <w:proofErr w:type="spellEnd"/>
            <w:r w:rsidRPr="00495B33">
              <w:rPr>
                <w:sz w:val="22"/>
                <w:szCs w:val="22"/>
                <w:lang w:val="lt-LT"/>
              </w:rPr>
              <w:t xml:space="preserve"> </w:t>
            </w:r>
            <w:proofErr w:type="spellStart"/>
            <w:r w:rsidRPr="00495B33">
              <w:rPr>
                <w:sz w:val="22"/>
                <w:szCs w:val="22"/>
                <w:lang w:val="lt-LT"/>
              </w:rPr>
              <w:t>credits</w:t>
            </w:r>
            <w:proofErr w:type="spellEnd"/>
            <w:r w:rsidRPr="00495B33">
              <w:rPr>
                <w:sz w:val="22"/>
                <w:szCs w:val="22"/>
                <w:lang w:val="lt-LT"/>
              </w:rPr>
              <w:t xml:space="preserve"> </w:t>
            </w:r>
            <w:r w:rsidR="009708B7" w:rsidRPr="00495B33">
              <w:rPr>
                <w:sz w:val="22"/>
                <w:szCs w:val="22"/>
                <w:lang w:val="lt-LT"/>
              </w:rPr>
              <w:t>ECTS</w:t>
            </w:r>
          </w:p>
        </w:tc>
      </w:tr>
      <w:tr w:rsidR="002D3C12" w:rsidRPr="00495B33"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single" w:sz="12" w:space="0" w:color="auto"/>
              <w:bottom w:val="single" w:sz="6" w:space="0" w:color="auto"/>
            </w:tcBorders>
          </w:tcPr>
          <w:p w:rsidR="002D3C12" w:rsidRPr="00495B33" w:rsidRDefault="0035258E">
            <w:pPr>
              <w:rPr>
                <w:sz w:val="22"/>
                <w:szCs w:val="22"/>
                <w:lang w:val="lt-LT"/>
              </w:rPr>
            </w:pPr>
            <w:proofErr w:type="spellStart"/>
            <w:r w:rsidRPr="00495B33">
              <w:rPr>
                <w:sz w:val="22"/>
                <w:szCs w:val="22"/>
                <w:lang w:val="lt-LT"/>
              </w:rPr>
              <w:t>lectures</w:t>
            </w:r>
            <w:proofErr w:type="spellEnd"/>
          </w:p>
        </w:tc>
        <w:tc>
          <w:tcPr>
            <w:tcW w:w="1985" w:type="dxa"/>
            <w:tcBorders>
              <w:top w:val="single" w:sz="12" w:space="0" w:color="auto"/>
              <w:bottom w:val="single" w:sz="6" w:space="0" w:color="auto"/>
            </w:tcBorders>
          </w:tcPr>
          <w:p w:rsidR="002D3C12" w:rsidRPr="00495B33" w:rsidRDefault="002D3C12" w:rsidP="0043659D">
            <w:pPr>
              <w:jc w:val="center"/>
              <w:rPr>
                <w:sz w:val="22"/>
                <w:szCs w:val="22"/>
                <w:lang w:val="lt-LT"/>
              </w:rPr>
            </w:pPr>
          </w:p>
        </w:tc>
        <w:tc>
          <w:tcPr>
            <w:tcW w:w="1984" w:type="dxa"/>
            <w:tcBorders>
              <w:top w:val="single" w:sz="12" w:space="0" w:color="auto"/>
              <w:bottom w:val="single" w:sz="6" w:space="0" w:color="auto"/>
            </w:tcBorders>
          </w:tcPr>
          <w:p w:rsidR="002D3C12" w:rsidRPr="00495B33" w:rsidRDefault="0035258E">
            <w:pPr>
              <w:rPr>
                <w:sz w:val="22"/>
                <w:szCs w:val="22"/>
                <w:lang w:val="lt-LT"/>
              </w:rPr>
            </w:pPr>
            <w:proofErr w:type="spellStart"/>
            <w:r w:rsidRPr="00495B33">
              <w:rPr>
                <w:sz w:val="22"/>
                <w:szCs w:val="22"/>
                <w:lang w:val="lt-LT"/>
              </w:rPr>
              <w:t>consultations</w:t>
            </w:r>
            <w:proofErr w:type="spellEnd"/>
          </w:p>
        </w:tc>
        <w:tc>
          <w:tcPr>
            <w:tcW w:w="1843" w:type="dxa"/>
            <w:tcBorders>
              <w:top w:val="single" w:sz="12" w:space="0" w:color="auto"/>
              <w:bottom w:val="single" w:sz="6" w:space="0" w:color="auto"/>
            </w:tcBorders>
          </w:tcPr>
          <w:p w:rsidR="002D3C12" w:rsidRPr="00495B33" w:rsidRDefault="0043659D" w:rsidP="0043659D">
            <w:pPr>
              <w:jc w:val="center"/>
              <w:rPr>
                <w:sz w:val="22"/>
                <w:szCs w:val="22"/>
                <w:lang w:val="lt-LT"/>
              </w:rPr>
            </w:pPr>
            <w:r w:rsidRPr="00495B33">
              <w:rPr>
                <w:sz w:val="22"/>
                <w:szCs w:val="22"/>
                <w:lang w:val="lt-LT"/>
              </w:rPr>
              <w:t>1</w:t>
            </w:r>
          </w:p>
        </w:tc>
      </w:tr>
      <w:tr w:rsidR="002D3C12" w:rsidRPr="00495B33"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single" w:sz="6" w:space="0" w:color="auto"/>
              <w:bottom w:val="single" w:sz="12" w:space="0" w:color="auto"/>
            </w:tcBorders>
          </w:tcPr>
          <w:p w:rsidR="002D3C12" w:rsidRPr="00495B33" w:rsidRDefault="00CA6702">
            <w:pPr>
              <w:rPr>
                <w:sz w:val="22"/>
                <w:szCs w:val="22"/>
                <w:lang w:val="lt-LT"/>
              </w:rPr>
            </w:pPr>
            <w:proofErr w:type="spellStart"/>
            <w:r w:rsidRPr="00495B33">
              <w:rPr>
                <w:sz w:val="22"/>
                <w:szCs w:val="22"/>
                <w:lang w:val="lt-LT"/>
              </w:rPr>
              <w:t>individual</w:t>
            </w:r>
            <w:proofErr w:type="spellEnd"/>
          </w:p>
        </w:tc>
        <w:tc>
          <w:tcPr>
            <w:tcW w:w="1985" w:type="dxa"/>
            <w:tcBorders>
              <w:top w:val="single" w:sz="6" w:space="0" w:color="auto"/>
              <w:bottom w:val="single" w:sz="12" w:space="0" w:color="auto"/>
            </w:tcBorders>
          </w:tcPr>
          <w:p w:rsidR="002D3C12" w:rsidRPr="00495B33" w:rsidRDefault="0043659D" w:rsidP="0043659D">
            <w:pPr>
              <w:jc w:val="center"/>
              <w:rPr>
                <w:sz w:val="22"/>
                <w:szCs w:val="22"/>
                <w:lang w:val="lt-LT"/>
              </w:rPr>
            </w:pPr>
            <w:r w:rsidRPr="00495B33">
              <w:rPr>
                <w:sz w:val="22"/>
                <w:szCs w:val="22"/>
                <w:lang w:val="lt-LT"/>
              </w:rPr>
              <w:t>4</w:t>
            </w:r>
          </w:p>
        </w:tc>
        <w:tc>
          <w:tcPr>
            <w:tcW w:w="1984" w:type="dxa"/>
            <w:tcBorders>
              <w:top w:val="single" w:sz="6" w:space="0" w:color="auto"/>
              <w:bottom w:val="single" w:sz="12" w:space="0" w:color="auto"/>
            </w:tcBorders>
          </w:tcPr>
          <w:p w:rsidR="002D3C12" w:rsidRPr="00495B33" w:rsidRDefault="002D3C12">
            <w:pPr>
              <w:rPr>
                <w:sz w:val="22"/>
                <w:szCs w:val="22"/>
                <w:lang w:val="lt-LT"/>
              </w:rPr>
            </w:pPr>
            <w:proofErr w:type="spellStart"/>
            <w:r w:rsidRPr="00495B33">
              <w:rPr>
                <w:sz w:val="22"/>
                <w:szCs w:val="22"/>
                <w:lang w:val="lt-LT"/>
              </w:rPr>
              <w:t>semina</w:t>
            </w:r>
            <w:r w:rsidR="00CA6702" w:rsidRPr="00495B33">
              <w:rPr>
                <w:sz w:val="22"/>
                <w:szCs w:val="22"/>
                <w:lang w:val="lt-LT"/>
              </w:rPr>
              <w:t>rs</w:t>
            </w:r>
            <w:proofErr w:type="spellEnd"/>
          </w:p>
        </w:tc>
        <w:tc>
          <w:tcPr>
            <w:tcW w:w="1843" w:type="dxa"/>
            <w:tcBorders>
              <w:top w:val="single" w:sz="6" w:space="0" w:color="auto"/>
              <w:bottom w:val="single" w:sz="12" w:space="0" w:color="auto"/>
            </w:tcBorders>
          </w:tcPr>
          <w:p w:rsidR="002D3C12" w:rsidRPr="00495B33" w:rsidRDefault="0043659D" w:rsidP="0043659D">
            <w:pPr>
              <w:jc w:val="center"/>
              <w:rPr>
                <w:sz w:val="22"/>
                <w:szCs w:val="22"/>
                <w:lang w:val="lt-LT"/>
              </w:rPr>
            </w:pPr>
            <w:r w:rsidRPr="00495B33">
              <w:rPr>
                <w:sz w:val="22"/>
                <w:szCs w:val="22"/>
                <w:lang w:val="lt-LT"/>
              </w:rPr>
              <w:t>2,5</w:t>
            </w:r>
          </w:p>
        </w:tc>
      </w:tr>
    </w:tbl>
    <w:p w:rsidR="002D3C12" w:rsidRPr="00495B33" w:rsidRDefault="00F76EBE">
      <w:pPr>
        <w:rPr>
          <w:sz w:val="22"/>
          <w:szCs w:val="22"/>
          <w:lang w:val="lt-LT"/>
        </w:rPr>
      </w:pPr>
      <w:r w:rsidRPr="00495B33">
        <w:rPr>
          <w:sz w:val="22"/>
          <w:szCs w:val="22"/>
          <w:lang w:val="lt-LT"/>
        </w:rPr>
        <w:t xml:space="preserve">                                                                                                                                  </w:t>
      </w:r>
      <w:proofErr w:type="gramStart"/>
      <w:r w:rsidR="005A3568" w:rsidRPr="00495B33">
        <w:rPr>
          <w:b/>
          <w:bCs/>
          <w:sz w:val="22"/>
          <w:szCs w:val="22"/>
        </w:rPr>
        <w:t>Total  7</w:t>
      </w:r>
      <w:proofErr w:type="gramEnd"/>
      <w:r w:rsidR="005A3568" w:rsidRPr="00495B33">
        <w:rPr>
          <w:b/>
          <w:bCs/>
          <w:sz w:val="22"/>
          <w:szCs w:val="22"/>
        </w:rPr>
        <w:t>,5</w:t>
      </w:r>
      <w:r w:rsidRPr="00495B33">
        <w:rPr>
          <w:sz w:val="22"/>
          <w:szCs w:val="22"/>
          <w:lang w:val="lt-LT"/>
        </w:rPr>
        <w:t xml:space="preserve">                                                      </w:t>
      </w:r>
    </w:p>
    <w:tbl>
      <w:tblPr>
        <w:tblW w:w="92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701"/>
        <w:gridCol w:w="4643"/>
      </w:tblGrid>
      <w:tr w:rsidR="002D3C12" w:rsidRPr="00495B33" w:rsidTr="00495B33">
        <w:tc>
          <w:tcPr>
            <w:tcW w:w="9287" w:type="dxa"/>
            <w:gridSpan w:val="3"/>
            <w:tcBorders>
              <w:top w:val="single" w:sz="12" w:space="0" w:color="auto"/>
              <w:bottom w:val="single" w:sz="12" w:space="0" w:color="auto"/>
            </w:tcBorders>
            <w:shd w:val="clear" w:color="auto" w:fill="F2F2F2"/>
          </w:tcPr>
          <w:p w:rsidR="002D3C12" w:rsidRPr="00495B33" w:rsidRDefault="00354267">
            <w:pPr>
              <w:rPr>
                <w:sz w:val="22"/>
                <w:szCs w:val="22"/>
                <w:lang w:val="lt-LT"/>
              </w:rPr>
            </w:pPr>
            <w:proofErr w:type="spellStart"/>
            <w:r w:rsidRPr="00495B33">
              <w:rPr>
                <w:sz w:val="22"/>
                <w:szCs w:val="22"/>
                <w:lang w:val="lt-LT"/>
              </w:rPr>
              <w:t>Subject</w:t>
            </w:r>
            <w:proofErr w:type="spellEnd"/>
            <w:r w:rsidRPr="00495B33">
              <w:rPr>
                <w:sz w:val="22"/>
                <w:szCs w:val="22"/>
                <w:lang w:val="lt-LT"/>
              </w:rPr>
              <w:t xml:space="preserve"> </w:t>
            </w:r>
            <w:proofErr w:type="spellStart"/>
            <w:r w:rsidRPr="00495B33">
              <w:rPr>
                <w:sz w:val="22"/>
                <w:szCs w:val="22"/>
                <w:lang w:val="lt-LT"/>
              </w:rPr>
              <w:t>annotation</w:t>
            </w:r>
            <w:proofErr w:type="spellEnd"/>
          </w:p>
        </w:tc>
      </w:tr>
      <w:tr w:rsidR="002D3C12" w:rsidRPr="00495B33" w:rsidTr="00495B33">
        <w:tc>
          <w:tcPr>
            <w:tcW w:w="9287" w:type="dxa"/>
            <w:gridSpan w:val="3"/>
            <w:tcBorders>
              <w:top w:val="single" w:sz="12" w:space="0" w:color="auto"/>
              <w:bottom w:val="double" w:sz="6" w:space="0" w:color="auto"/>
            </w:tcBorders>
          </w:tcPr>
          <w:p w:rsidR="00FA5C1A" w:rsidRPr="00495B33" w:rsidRDefault="00FA5C1A" w:rsidP="00FA5C1A">
            <w:pPr>
              <w:spacing w:line="276" w:lineRule="auto"/>
              <w:jc w:val="both"/>
              <w:rPr>
                <w:bCs/>
                <w:sz w:val="22"/>
                <w:szCs w:val="22"/>
              </w:rPr>
            </w:pPr>
            <w:r w:rsidRPr="00495B33">
              <w:rPr>
                <w:bCs/>
                <w:sz w:val="22"/>
                <w:szCs w:val="22"/>
              </w:rPr>
              <w:t xml:space="preserve">The course sees the changes in 19th-century society as a multifaceted transformation leading to the emergence of modern society. The trends and directions of modernization in imperial societies are presented as a linear progression and as an aspiration of 19th-century European states and societies. Modernization is viewed through dichotomous (efforts to change the political, social, and economic systems of states, to move from traditional agrarian to industrial societies), historical (description of modernization), and instrumental (ways of changing society and controlling its transformation) perspectives. The imperial model of modernization was characteristic of the Russian Empire (as well as the Habsburg and Ottoman Empires) and relevant to the so-called Western Governorates. In the latter, modernization, covering the political, social, legal, economic, and cultural spheres, came primarily "from above", but this did not exclude the involvement of a part of society in modernization projects. The course explains the perspectives, obstacles, and criticisms of modernization. Societal responses to the challenges of modernization include changes in the education system, the development of science, manifestations of individualism and nationalism, political, military, ethnic, and social conflicts, feminism, anti-Semitism, the activities of modern societies and associations, the beginnings of a civil society, national and cultural movements, the deformation of the traditional family, the mobility of societies, the synchronization of time and the expansion of space, etc. </w:t>
            </w:r>
          </w:p>
          <w:p w:rsidR="002D3C12" w:rsidRPr="00495B33" w:rsidRDefault="002D3C12">
            <w:pPr>
              <w:jc w:val="both"/>
              <w:rPr>
                <w:sz w:val="22"/>
                <w:szCs w:val="22"/>
                <w:lang w:val="lt-LT"/>
              </w:rPr>
            </w:pPr>
          </w:p>
        </w:tc>
      </w:tr>
      <w:tr w:rsidR="002D3C12" w:rsidRPr="00495B33" w:rsidTr="00495B33">
        <w:tc>
          <w:tcPr>
            <w:tcW w:w="9287" w:type="dxa"/>
            <w:gridSpan w:val="3"/>
            <w:tcBorders>
              <w:top w:val="double" w:sz="6" w:space="0" w:color="auto"/>
              <w:bottom w:val="single" w:sz="12" w:space="0" w:color="auto"/>
            </w:tcBorders>
            <w:shd w:val="clear" w:color="auto" w:fill="F2F2F2"/>
          </w:tcPr>
          <w:p w:rsidR="002D3C12" w:rsidRPr="00495B33" w:rsidRDefault="002D7AD1">
            <w:pPr>
              <w:rPr>
                <w:sz w:val="22"/>
                <w:szCs w:val="22"/>
                <w:lang w:val="lt-LT"/>
              </w:rPr>
            </w:pPr>
            <w:proofErr w:type="spellStart"/>
            <w:r w:rsidRPr="00495B33">
              <w:rPr>
                <w:sz w:val="22"/>
                <w:szCs w:val="22"/>
                <w:lang w:val="lt-LT"/>
              </w:rPr>
              <w:t>Key</w:t>
            </w:r>
            <w:proofErr w:type="spellEnd"/>
            <w:r w:rsidRPr="00495B33">
              <w:rPr>
                <w:sz w:val="22"/>
                <w:szCs w:val="22"/>
                <w:lang w:val="lt-LT"/>
              </w:rPr>
              <w:t xml:space="preserve"> </w:t>
            </w:r>
            <w:proofErr w:type="spellStart"/>
            <w:r w:rsidRPr="00495B33">
              <w:rPr>
                <w:sz w:val="22"/>
                <w:szCs w:val="22"/>
                <w:lang w:val="lt-LT"/>
              </w:rPr>
              <w:t>literature</w:t>
            </w:r>
            <w:proofErr w:type="spellEnd"/>
          </w:p>
        </w:tc>
      </w:tr>
      <w:tr w:rsidR="00FA5C1A" w:rsidRPr="00495B33" w:rsidTr="00495B33">
        <w:tc>
          <w:tcPr>
            <w:tcW w:w="9287" w:type="dxa"/>
            <w:gridSpan w:val="3"/>
            <w:tcBorders>
              <w:top w:val="nil"/>
              <w:bottom w:val="single" w:sz="6" w:space="0" w:color="auto"/>
            </w:tcBorders>
          </w:tcPr>
          <w:p w:rsidR="00FA5C1A" w:rsidRPr="00495B33" w:rsidRDefault="00FA5C1A" w:rsidP="00FA5C1A">
            <w:pPr>
              <w:rPr>
                <w:sz w:val="22"/>
                <w:szCs w:val="22"/>
                <w:lang w:val="lt-LT"/>
              </w:rPr>
            </w:pPr>
            <w:proofErr w:type="spellStart"/>
            <w:r w:rsidRPr="00495B33">
              <w:rPr>
                <w:sz w:val="22"/>
                <w:szCs w:val="22"/>
                <w:lang w:val="lt-LT"/>
              </w:rPr>
              <w:t>Balkelis</w:t>
            </w:r>
            <w:proofErr w:type="spellEnd"/>
            <w:r w:rsidRPr="00495B33">
              <w:rPr>
                <w:sz w:val="22"/>
                <w:szCs w:val="22"/>
                <w:lang w:val="lt-LT"/>
              </w:rPr>
              <w:t xml:space="preserve">, Tomas, </w:t>
            </w:r>
            <w:r w:rsidRPr="00495B33">
              <w:rPr>
                <w:i/>
                <w:iCs/>
                <w:sz w:val="22"/>
                <w:szCs w:val="22"/>
                <w:lang w:val="lt-LT"/>
              </w:rPr>
              <w:t>Moderniosios Lietuvos kūrimas</w:t>
            </w:r>
            <w:r w:rsidRPr="00495B33">
              <w:rPr>
                <w:sz w:val="22"/>
                <w:szCs w:val="22"/>
                <w:lang w:val="lt-LT"/>
              </w:rPr>
              <w:t>, Vilnius: LLTI, 2012</w:t>
            </w:r>
          </w:p>
        </w:tc>
      </w:tr>
      <w:tr w:rsidR="00FA5C1A" w:rsidRPr="00495B33" w:rsidTr="00495B33">
        <w:tc>
          <w:tcPr>
            <w:tcW w:w="9287" w:type="dxa"/>
            <w:gridSpan w:val="3"/>
            <w:tcBorders>
              <w:top w:val="single" w:sz="6" w:space="0" w:color="auto"/>
              <w:bottom w:val="single" w:sz="6" w:space="0" w:color="auto"/>
            </w:tcBorders>
          </w:tcPr>
          <w:p w:rsidR="00FA5C1A" w:rsidRPr="00495B33" w:rsidRDefault="00FA5C1A" w:rsidP="00FA5C1A">
            <w:pPr>
              <w:rPr>
                <w:sz w:val="22"/>
                <w:szCs w:val="22"/>
                <w:lang w:val="lt-LT"/>
              </w:rPr>
            </w:pPr>
            <w:proofErr w:type="spellStart"/>
            <w:r w:rsidRPr="00495B33">
              <w:rPr>
                <w:sz w:val="22"/>
                <w:szCs w:val="22"/>
                <w:lang w:val="lt-LT"/>
              </w:rPr>
              <w:t>Bradley</w:t>
            </w:r>
            <w:proofErr w:type="spellEnd"/>
            <w:r w:rsidRPr="00495B33">
              <w:rPr>
                <w:sz w:val="22"/>
                <w:szCs w:val="22"/>
                <w:lang w:val="lt-LT"/>
              </w:rPr>
              <w:t xml:space="preserve">, </w:t>
            </w:r>
            <w:proofErr w:type="spellStart"/>
            <w:r w:rsidRPr="00495B33">
              <w:rPr>
                <w:sz w:val="22"/>
                <w:szCs w:val="22"/>
                <w:lang w:val="lt-LT"/>
              </w:rPr>
              <w:t>Jozeph</w:t>
            </w:r>
            <w:proofErr w:type="spellEnd"/>
            <w:r w:rsidRPr="00495B33">
              <w:rPr>
                <w:sz w:val="22"/>
                <w:szCs w:val="22"/>
                <w:lang w:val="lt-LT"/>
              </w:rPr>
              <w:t xml:space="preserve">, </w:t>
            </w:r>
            <w:proofErr w:type="spellStart"/>
            <w:r w:rsidRPr="00495B33">
              <w:rPr>
                <w:i/>
                <w:iCs/>
                <w:sz w:val="22"/>
                <w:szCs w:val="22"/>
                <w:lang w:val="lt-LT"/>
              </w:rPr>
              <w:t>Voluntary</w:t>
            </w:r>
            <w:proofErr w:type="spellEnd"/>
            <w:r w:rsidRPr="00495B33">
              <w:rPr>
                <w:i/>
                <w:iCs/>
                <w:sz w:val="22"/>
                <w:szCs w:val="22"/>
                <w:lang w:val="lt-LT"/>
              </w:rPr>
              <w:t xml:space="preserve"> </w:t>
            </w:r>
            <w:proofErr w:type="spellStart"/>
            <w:r w:rsidRPr="00495B33">
              <w:rPr>
                <w:i/>
                <w:iCs/>
                <w:sz w:val="22"/>
                <w:szCs w:val="22"/>
                <w:lang w:val="lt-LT"/>
              </w:rPr>
              <w:t>Associations</w:t>
            </w:r>
            <w:proofErr w:type="spellEnd"/>
            <w:r w:rsidRPr="00495B33">
              <w:rPr>
                <w:i/>
                <w:iCs/>
                <w:sz w:val="22"/>
                <w:szCs w:val="22"/>
                <w:lang w:val="lt-LT"/>
              </w:rPr>
              <w:t xml:space="preserve"> </w:t>
            </w:r>
            <w:proofErr w:type="spellStart"/>
            <w:r w:rsidRPr="00495B33">
              <w:rPr>
                <w:i/>
                <w:iCs/>
                <w:sz w:val="22"/>
                <w:szCs w:val="22"/>
                <w:lang w:val="lt-LT"/>
              </w:rPr>
              <w:t>in</w:t>
            </w:r>
            <w:proofErr w:type="spellEnd"/>
            <w:r w:rsidRPr="00495B33">
              <w:rPr>
                <w:i/>
                <w:iCs/>
                <w:sz w:val="22"/>
                <w:szCs w:val="22"/>
                <w:lang w:val="lt-LT"/>
              </w:rPr>
              <w:t xml:space="preserve"> </w:t>
            </w:r>
            <w:proofErr w:type="spellStart"/>
            <w:r w:rsidRPr="00495B33">
              <w:rPr>
                <w:i/>
                <w:iCs/>
                <w:sz w:val="22"/>
                <w:szCs w:val="22"/>
                <w:lang w:val="lt-LT"/>
              </w:rPr>
              <w:t>Tsarists</w:t>
            </w:r>
            <w:proofErr w:type="spellEnd"/>
            <w:r w:rsidRPr="00495B33">
              <w:rPr>
                <w:i/>
                <w:iCs/>
                <w:sz w:val="22"/>
                <w:szCs w:val="22"/>
                <w:lang w:val="lt-LT"/>
              </w:rPr>
              <w:t xml:space="preserve"> </w:t>
            </w:r>
            <w:proofErr w:type="spellStart"/>
            <w:r w:rsidRPr="00495B33">
              <w:rPr>
                <w:i/>
                <w:iCs/>
                <w:sz w:val="22"/>
                <w:szCs w:val="22"/>
                <w:lang w:val="lt-LT"/>
              </w:rPr>
              <w:t>Russia</w:t>
            </w:r>
            <w:proofErr w:type="spellEnd"/>
            <w:r w:rsidRPr="00495B33">
              <w:rPr>
                <w:i/>
                <w:iCs/>
                <w:sz w:val="22"/>
                <w:szCs w:val="22"/>
                <w:lang w:val="lt-LT"/>
              </w:rPr>
              <w:t xml:space="preserve">. </w:t>
            </w:r>
            <w:proofErr w:type="spellStart"/>
            <w:r w:rsidRPr="00495B33">
              <w:rPr>
                <w:i/>
                <w:iCs/>
                <w:sz w:val="22"/>
                <w:szCs w:val="22"/>
                <w:lang w:val="lt-LT"/>
              </w:rPr>
              <w:t>Science</w:t>
            </w:r>
            <w:proofErr w:type="spellEnd"/>
            <w:r w:rsidRPr="00495B33">
              <w:rPr>
                <w:i/>
                <w:iCs/>
                <w:sz w:val="22"/>
                <w:szCs w:val="22"/>
                <w:lang w:val="lt-LT"/>
              </w:rPr>
              <w:t xml:space="preserve">, </w:t>
            </w:r>
            <w:proofErr w:type="spellStart"/>
            <w:r w:rsidRPr="00495B33">
              <w:rPr>
                <w:i/>
                <w:iCs/>
                <w:sz w:val="22"/>
                <w:szCs w:val="22"/>
                <w:lang w:val="lt-LT"/>
              </w:rPr>
              <w:t>Patriotizm</w:t>
            </w:r>
            <w:proofErr w:type="spellEnd"/>
            <w:r w:rsidRPr="00495B33">
              <w:rPr>
                <w:i/>
                <w:iCs/>
                <w:sz w:val="22"/>
                <w:szCs w:val="22"/>
                <w:lang w:val="lt-LT"/>
              </w:rPr>
              <w:t xml:space="preserve"> </w:t>
            </w:r>
            <w:proofErr w:type="spellStart"/>
            <w:r w:rsidRPr="00495B33">
              <w:rPr>
                <w:i/>
                <w:iCs/>
                <w:sz w:val="22"/>
                <w:szCs w:val="22"/>
                <w:lang w:val="lt-LT"/>
              </w:rPr>
              <w:t>and</w:t>
            </w:r>
            <w:proofErr w:type="spellEnd"/>
            <w:r w:rsidRPr="00495B33">
              <w:rPr>
                <w:i/>
                <w:iCs/>
                <w:sz w:val="22"/>
                <w:szCs w:val="22"/>
                <w:lang w:val="lt-LT"/>
              </w:rPr>
              <w:t xml:space="preserve"> </w:t>
            </w:r>
            <w:proofErr w:type="spellStart"/>
            <w:r w:rsidRPr="00495B33">
              <w:rPr>
                <w:i/>
                <w:iCs/>
                <w:sz w:val="22"/>
                <w:szCs w:val="22"/>
                <w:lang w:val="lt-LT"/>
              </w:rPr>
              <w:t>Cyvil</w:t>
            </w:r>
            <w:proofErr w:type="spellEnd"/>
            <w:r w:rsidRPr="00495B33">
              <w:rPr>
                <w:i/>
                <w:iCs/>
                <w:sz w:val="22"/>
                <w:szCs w:val="22"/>
                <w:lang w:val="lt-LT"/>
              </w:rPr>
              <w:t xml:space="preserve"> </w:t>
            </w:r>
            <w:proofErr w:type="spellStart"/>
            <w:r w:rsidRPr="00495B33">
              <w:rPr>
                <w:i/>
                <w:iCs/>
                <w:sz w:val="22"/>
                <w:szCs w:val="22"/>
                <w:lang w:val="lt-LT"/>
              </w:rPr>
              <w:t>Society</w:t>
            </w:r>
            <w:proofErr w:type="spellEnd"/>
            <w:r w:rsidRPr="00495B33">
              <w:rPr>
                <w:sz w:val="22"/>
                <w:szCs w:val="22"/>
                <w:lang w:val="lt-LT"/>
              </w:rPr>
              <w:t xml:space="preserve">, </w:t>
            </w:r>
            <w:proofErr w:type="spellStart"/>
            <w:r w:rsidRPr="00495B33">
              <w:rPr>
                <w:sz w:val="22"/>
                <w:szCs w:val="22"/>
                <w:lang w:val="lt-LT"/>
              </w:rPr>
              <w:t>London</w:t>
            </w:r>
            <w:proofErr w:type="spellEnd"/>
            <w:r w:rsidRPr="00495B33">
              <w:rPr>
                <w:sz w:val="22"/>
                <w:szCs w:val="22"/>
                <w:lang w:val="lt-LT"/>
              </w:rPr>
              <w:t xml:space="preserve">: </w:t>
            </w:r>
            <w:proofErr w:type="spellStart"/>
            <w:r w:rsidRPr="00495B33">
              <w:rPr>
                <w:sz w:val="22"/>
                <w:szCs w:val="22"/>
                <w:lang w:val="lt-LT"/>
              </w:rPr>
              <w:t>Harvard</w:t>
            </w:r>
            <w:proofErr w:type="spellEnd"/>
            <w:r w:rsidRPr="00495B33">
              <w:rPr>
                <w:sz w:val="22"/>
                <w:szCs w:val="22"/>
                <w:lang w:val="lt-LT"/>
              </w:rPr>
              <w:t xml:space="preserve"> University Press, 2009</w:t>
            </w:r>
          </w:p>
        </w:tc>
      </w:tr>
      <w:tr w:rsidR="00FA5C1A" w:rsidRPr="00495B33" w:rsidTr="00495B33">
        <w:tc>
          <w:tcPr>
            <w:tcW w:w="9287" w:type="dxa"/>
            <w:gridSpan w:val="3"/>
            <w:tcBorders>
              <w:top w:val="single" w:sz="6" w:space="0" w:color="auto"/>
              <w:bottom w:val="nil"/>
            </w:tcBorders>
          </w:tcPr>
          <w:p w:rsidR="00FA5C1A" w:rsidRPr="00495B33" w:rsidRDefault="00FA5C1A" w:rsidP="00FA5C1A">
            <w:pPr>
              <w:rPr>
                <w:sz w:val="22"/>
                <w:szCs w:val="22"/>
                <w:lang w:val="lt-LT"/>
              </w:rPr>
            </w:pPr>
            <w:proofErr w:type="spellStart"/>
            <w:r w:rsidRPr="00495B33">
              <w:rPr>
                <w:sz w:val="22"/>
                <w:szCs w:val="22"/>
                <w:lang w:val="lt-LT"/>
              </w:rPr>
              <w:t>Gerasimov</w:t>
            </w:r>
            <w:proofErr w:type="spellEnd"/>
            <w:r w:rsidRPr="00495B33">
              <w:rPr>
                <w:sz w:val="22"/>
                <w:szCs w:val="22"/>
                <w:lang w:val="lt-LT"/>
              </w:rPr>
              <w:t xml:space="preserve"> </w:t>
            </w:r>
            <w:proofErr w:type="spellStart"/>
            <w:r w:rsidRPr="00495B33">
              <w:rPr>
                <w:sz w:val="22"/>
                <w:szCs w:val="22"/>
                <w:lang w:val="lt-LT"/>
              </w:rPr>
              <w:t>Ilija</w:t>
            </w:r>
            <w:proofErr w:type="spellEnd"/>
            <w:r w:rsidRPr="00495B33">
              <w:rPr>
                <w:sz w:val="22"/>
                <w:szCs w:val="22"/>
                <w:lang w:val="lt-LT"/>
              </w:rPr>
              <w:t xml:space="preserve">, </w:t>
            </w:r>
            <w:proofErr w:type="spellStart"/>
            <w:r w:rsidRPr="00495B33">
              <w:rPr>
                <w:i/>
                <w:iCs/>
                <w:sz w:val="22"/>
                <w:szCs w:val="22"/>
                <w:lang w:val="lt-LT"/>
              </w:rPr>
              <w:t>Plebeian</w:t>
            </w:r>
            <w:proofErr w:type="spellEnd"/>
            <w:r w:rsidRPr="00495B33">
              <w:rPr>
                <w:i/>
                <w:iCs/>
                <w:sz w:val="22"/>
                <w:szCs w:val="22"/>
                <w:lang w:val="lt-LT"/>
              </w:rPr>
              <w:t xml:space="preserve"> </w:t>
            </w:r>
            <w:proofErr w:type="spellStart"/>
            <w:r w:rsidRPr="00495B33">
              <w:rPr>
                <w:i/>
                <w:iCs/>
                <w:sz w:val="22"/>
                <w:szCs w:val="22"/>
                <w:lang w:val="lt-LT"/>
              </w:rPr>
              <w:t>Modernity</w:t>
            </w:r>
            <w:proofErr w:type="spellEnd"/>
            <w:r w:rsidRPr="00495B33">
              <w:rPr>
                <w:i/>
                <w:iCs/>
                <w:sz w:val="22"/>
                <w:szCs w:val="22"/>
                <w:lang w:val="lt-LT"/>
              </w:rPr>
              <w:t xml:space="preserve">. </w:t>
            </w:r>
            <w:proofErr w:type="spellStart"/>
            <w:r w:rsidRPr="00495B33">
              <w:rPr>
                <w:i/>
                <w:iCs/>
                <w:sz w:val="22"/>
                <w:szCs w:val="22"/>
                <w:lang w:val="lt-LT"/>
              </w:rPr>
              <w:t>Social</w:t>
            </w:r>
            <w:proofErr w:type="spellEnd"/>
            <w:r w:rsidRPr="00495B33">
              <w:rPr>
                <w:i/>
                <w:iCs/>
                <w:sz w:val="22"/>
                <w:szCs w:val="22"/>
                <w:lang w:val="lt-LT"/>
              </w:rPr>
              <w:t xml:space="preserve"> </w:t>
            </w:r>
            <w:proofErr w:type="spellStart"/>
            <w:r w:rsidRPr="00495B33">
              <w:rPr>
                <w:i/>
                <w:iCs/>
                <w:sz w:val="22"/>
                <w:szCs w:val="22"/>
                <w:lang w:val="lt-LT"/>
              </w:rPr>
              <w:t>Practices</w:t>
            </w:r>
            <w:proofErr w:type="spellEnd"/>
            <w:r w:rsidRPr="00495B33">
              <w:rPr>
                <w:i/>
                <w:iCs/>
                <w:sz w:val="22"/>
                <w:szCs w:val="22"/>
                <w:lang w:val="lt-LT"/>
              </w:rPr>
              <w:t xml:space="preserve">, </w:t>
            </w:r>
            <w:proofErr w:type="spellStart"/>
            <w:r w:rsidRPr="00495B33">
              <w:rPr>
                <w:i/>
                <w:iCs/>
                <w:sz w:val="22"/>
                <w:szCs w:val="22"/>
                <w:lang w:val="lt-LT"/>
              </w:rPr>
              <w:t>Illegality</w:t>
            </w:r>
            <w:proofErr w:type="spellEnd"/>
            <w:r w:rsidRPr="00495B33">
              <w:rPr>
                <w:i/>
                <w:iCs/>
                <w:sz w:val="22"/>
                <w:szCs w:val="22"/>
                <w:lang w:val="lt-LT"/>
              </w:rPr>
              <w:t xml:space="preserve">, </w:t>
            </w:r>
            <w:proofErr w:type="spellStart"/>
            <w:r w:rsidRPr="00495B33">
              <w:rPr>
                <w:i/>
                <w:iCs/>
                <w:sz w:val="22"/>
                <w:szCs w:val="22"/>
                <w:lang w:val="lt-LT"/>
              </w:rPr>
              <w:t>and</w:t>
            </w:r>
            <w:proofErr w:type="spellEnd"/>
            <w:r w:rsidRPr="00495B33">
              <w:rPr>
                <w:i/>
                <w:iCs/>
                <w:sz w:val="22"/>
                <w:szCs w:val="22"/>
                <w:lang w:val="lt-LT"/>
              </w:rPr>
              <w:t xml:space="preserve"> </w:t>
            </w:r>
            <w:proofErr w:type="spellStart"/>
            <w:r w:rsidRPr="00495B33">
              <w:rPr>
                <w:i/>
                <w:iCs/>
                <w:sz w:val="22"/>
                <w:szCs w:val="22"/>
                <w:lang w:val="lt-LT"/>
              </w:rPr>
              <w:t>the</w:t>
            </w:r>
            <w:proofErr w:type="spellEnd"/>
            <w:r w:rsidRPr="00495B33">
              <w:rPr>
                <w:i/>
                <w:iCs/>
                <w:sz w:val="22"/>
                <w:szCs w:val="22"/>
                <w:lang w:val="lt-LT"/>
              </w:rPr>
              <w:t xml:space="preserve"> Urban </w:t>
            </w:r>
            <w:proofErr w:type="spellStart"/>
            <w:r w:rsidRPr="00495B33">
              <w:rPr>
                <w:i/>
                <w:iCs/>
                <w:sz w:val="22"/>
                <w:szCs w:val="22"/>
                <w:lang w:val="lt-LT"/>
              </w:rPr>
              <w:t>Poor</w:t>
            </w:r>
            <w:proofErr w:type="spellEnd"/>
            <w:r w:rsidRPr="00495B33">
              <w:rPr>
                <w:i/>
                <w:iCs/>
                <w:sz w:val="22"/>
                <w:szCs w:val="22"/>
                <w:lang w:val="lt-LT"/>
              </w:rPr>
              <w:t xml:space="preserve"> </w:t>
            </w:r>
            <w:proofErr w:type="spellStart"/>
            <w:r w:rsidRPr="00495B33">
              <w:rPr>
                <w:i/>
                <w:iCs/>
                <w:sz w:val="22"/>
                <w:szCs w:val="22"/>
                <w:lang w:val="lt-LT"/>
              </w:rPr>
              <w:t>in</w:t>
            </w:r>
            <w:proofErr w:type="spellEnd"/>
            <w:r w:rsidRPr="00495B33">
              <w:rPr>
                <w:i/>
                <w:iCs/>
                <w:sz w:val="22"/>
                <w:szCs w:val="22"/>
                <w:lang w:val="lt-LT"/>
              </w:rPr>
              <w:t xml:space="preserve"> </w:t>
            </w:r>
            <w:proofErr w:type="spellStart"/>
            <w:r w:rsidRPr="00495B33">
              <w:rPr>
                <w:i/>
                <w:iCs/>
                <w:sz w:val="22"/>
                <w:szCs w:val="22"/>
                <w:lang w:val="lt-LT"/>
              </w:rPr>
              <w:t>Russia</w:t>
            </w:r>
            <w:proofErr w:type="spellEnd"/>
            <w:r w:rsidRPr="00495B33">
              <w:rPr>
                <w:sz w:val="22"/>
                <w:szCs w:val="22"/>
                <w:lang w:val="lt-LT"/>
              </w:rPr>
              <w:t xml:space="preserve">, 1906–1917, </w:t>
            </w:r>
            <w:proofErr w:type="spellStart"/>
            <w:r w:rsidRPr="00495B33">
              <w:rPr>
                <w:sz w:val="22"/>
                <w:szCs w:val="22"/>
                <w:lang w:val="lt-LT"/>
              </w:rPr>
              <w:t>Rochester</w:t>
            </w:r>
            <w:proofErr w:type="spellEnd"/>
            <w:r w:rsidRPr="00495B33">
              <w:rPr>
                <w:sz w:val="22"/>
                <w:szCs w:val="22"/>
                <w:lang w:val="lt-LT"/>
              </w:rPr>
              <w:t xml:space="preserve">: University </w:t>
            </w:r>
            <w:proofErr w:type="spellStart"/>
            <w:r w:rsidRPr="00495B33">
              <w:rPr>
                <w:sz w:val="22"/>
                <w:szCs w:val="22"/>
                <w:lang w:val="lt-LT"/>
              </w:rPr>
              <w:t>of</w:t>
            </w:r>
            <w:proofErr w:type="spellEnd"/>
            <w:r w:rsidRPr="00495B33">
              <w:rPr>
                <w:sz w:val="22"/>
                <w:szCs w:val="22"/>
                <w:lang w:val="lt-LT"/>
              </w:rPr>
              <w:t xml:space="preserve"> </w:t>
            </w:r>
            <w:proofErr w:type="spellStart"/>
            <w:r w:rsidRPr="00495B33">
              <w:rPr>
                <w:sz w:val="22"/>
                <w:szCs w:val="22"/>
                <w:lang w:val="lt-LT"/>
              </w:rPr>
              <w:t>Rochester</w:t>
            </w:r>
            <w:proofErr w:type="spellEnd"/>
            <w:r w:rsidRPr="00495B33">
              <w:rPr>
                <w:sz w:val="22"/>
                <w:szCs w:val="22"/>
                <w:lang w:val="lt-LT"/>
              </w:rPr>
              <w:t xml:space="preserve"> Press, 2018</w:t>
            </w:r>
          </w:p>
        </w:tc>
      </w:tr>
      <w:tr w:rsidR="00FA5C1A" w:rsidRPr="00495B33" w:rsidTr="00495B33">
        <w:tc>
          <w:tcPr>
            <w:tcW w:w="9287" w:type="dxa"/>
            <w:gridSpan w:val="3"/>
            <w:tcBorders>
              <w:top w:val="single" w:sz="6" w:space="0" w:color="auto"/>
              <w:bottom w:val="single" w:sz="12" w:space="0" w:color="auto"/>
            </w:tcBorders>
          </w:tcPr>
          <w:p w:rsidR="00FA5C1A" w:rsidRPr="00495B33" w:rsidRDefault="00FA5C1A" w:rsidP="00FA5C1A">
            <w:pPr>
              <w:rPr>
                <w:sz w:val="22"/>
                <w:szCs w:val="22"/>
                <w:lang w:val="lt-LT"/>
              </w:rPr>
            </w:pPr>
            <w:r w:rsidRPr="00495B33">
              <w:rPr>
                <w:sz w:val="22"/>
                <w:szCs w:val="22"/>
                <w:lang w:val="ru-RU"/>
              </w:rPr>
              <w:t xml:space="preserve">Уильям, Стивен, </w:t>
            </w:r>
            <w:r w:rsidRPr="00495B33">
              <w:rPr>
                <w:i/>
                <w:iCs/>
                <w:sz w:val="22"/>
                <w:szCs w:val="22"/>
                <w:lang w:val="ru-RU"/>
              </w:rPr>
              <w:t>Либеральные реформы при нелиберальном режиме. Создание частной собственности в России в 1906–1915</w:t>
            </w:r>
            <w:r w:rsidRPr="00495B33">
              <w:rPr>
                <w:sz w:val="22"/>
                <w:szCs w:val="22"/>
                <w:lang w:val="ru-RU"/>
              </w:rPr>
              <w:t xml:space="preserve"> гг., Москва: Ирисэн. Мысль, 2009</w:t>
            </w:r>
          </w:p>
        </w:tc>
      </w:tr>
      <w:tr w:rsidR="00FA5C1A" w:rsidRPr="00495B33" w:rsidTr="00495B33">
        <w:tc>
          <w:tcPr>
            <w:tcW w:w="9287" w:type="dxa"/>
            <w:gridSpan w:val="3"/>
            <w:tcBorders>
              <w:top w:val="single" w:sz="6" w:space="0" w:color="auto"/>
              <w:bottom w:val="single" w:sz="12" w:space="0" w:color="auto"/>
            </w:tcBorders>
          </w:tcPr>
          <w:p w:rsidR="00FA5C1A" w:rsidRPr="00495B33" w:rsidRDefault="00FA5C1A" w:rsidP="00FA5C1A">
            <w:pPr>
              <w:rPr>
                <w:sz w:val="22"/>
                <w:szCs w:val="22"/>
                <w:lang w:val="lt-LT"/>
              </w:rPr>
            </w:pPr>
            <w:r w:rsidRPr="00495B33">
              <w:rPr>
                <w:sz w:val="22"/>
                <w:szCs w:val="22"/>
                <w:lang w:val="ru-RU"/>
              </w:rPr>
              <w:t xml:space="preserve">Шенк Фритьоф Беньямин, </w:t>
            </w:r>
            <w:r w:rsidRPr="00495B33">
              <w:rPr>
                <w:i/>
                <w:iCs/>
                <w:sz w:val="22"/>
                <w:szCs w:val="22"/>
                <w:lang w:val="ru-RU"/>
              </w:rPr>
              <w:t>Поезд в современность: мобильность и социальное пространство России в век железных дорог</w:t>
            </w:r>
            <w:r w:rsidRPr="00495B33">
              <w:rPr>
                <w:sz w:val="22"/>
                <w:szCs w:val="22"/>
                <w:lang w:val="ru-RU"/>
              </w:rPr>
              <w:t>, Москва: Новое литературное обозрение, 2016</w:t>
            </w:r>
          </w:p>
        </w:tc>
      </w:tr>
      <w:tr w:rsidR="00D83738" w:rsidRPr="00495B33" w:rsidTr="00495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Borders>
              <w:top w:val="single" w:sz="12" w:space="0" w:color="auto"/>
              <w:left w:val="single" w:sz="12" w:space="0" w:color="auto"/>
              <w:bottom w:val="single" w:sz="12" w:space="0" w:color="auto"/>
              <w:right w:val="single" w:sz="12" w:space="0" w:color="auto"/>
            </w:tcBorders>
            <w:shd w:val="clear" w:color="auto" w:fill="F2F2F2"/>
          </w:tcPr>
          <w:p w:rsidR="00D83738" w:rsidRPr="00495B33" w:rsidRDefault="00027F73">
            <w:pPr>
              <w:rPr>
                <w:sz w:val="22"/>
                <w:szCs w:val="22"/>
                <w:lang w:val="lt-LT"/>
              </w:rPr>
            </w:pPr>
            <w:proofErr w:type="spellStart"/>
            <w:r w:rsidRPr="00495B33">
              <w:rPr>
                <w:sz w:val="22"/>
                <w:szCs w:val="22"/>
                <w:lang w:val="lt-LT"/>
              </w:rPr>
              <w:t>Supervising</w:t>
            </w:r>
            <w:proofErr w:type="spellEnd"/>
            <w:r w:rsidRPr="00495B33">
              <w:rPr>
                <w:sz w:val="22"/>
                <w:szCs w:val="22"/>
                <w:lang w:val="lt-LT"/>
              </w:rPr>
              <w:t xml:space="preserve"> </w:t>
            </w:r>
            <w:proofErr w:type="spellStart"/>
            <w:r w:rsidRPr="00495B33">
              <w:rPr>
                <w:sz w:val="22"/>
                <w:szCs w:val="22"/>
                <w:lang w:val="lt-LT"/>
              </w:rPr>
              <w:t>lecturers</w:t>
            </w:r>
            <w:proofErr w:type="spellEnd"/>
            <w:r w:rsidRPr="00495B33">
              <w:rPr>
                <w:sz w:val="22"/>
                <w:szCs w:val="22"/>
                <w:lang w:val="lt-LT"/>
              </w:rPr>
              <w:t xml:space="preserve">‘ </w:t>
            </w:r>
            <w:proofErr w:type="spellStart"/>
            <w:r w:rsidR="00B65DF1" w:rsidRPr="00495B33">
              <w:rPr>
                <w:sz w:val="22"/>
                <w:szCs w:val="22"/>
                <w:lang w:val="lt-LT"/>
              </w:rPr>
              <w:t>names</w:t>
            </w:r>
            <w:proofErr w:type="spellEnd"/>
            <w:r w:rsidR="00883F45" w:rsidRPr="00495B33">
              <w:rPr>
                <w:sz w:val="22"/>
                <w:szCs w:val="22"/>
                <w:lang w:val="lt-LT"/>
              </w:rPr>
              <w:t xml:space="preserve"> </w:t>
            </w:r>
            <w:proofErr w:type="spellStart"/>
            <w:r w:rsidR="00883F45" w:rsidRPr="00495B33">
              <w:rPr>
                <w:sz w:val="22"/>
                <w:szCs w:val="22"/>
                <w:lang w:val="lt-LT"/>
              </w:rPr>
              <w:t>and</w:t>
            </w:r>
            <w:proofErr w:type="spellEnd"/>
            <w:r w:rsidR="00883F45" w:rsidRPr="00495B33">
              <w:rPr>
                <w:sz w:val="22"/>
                <w:szCs w:val="22"/>
                <w:lang w:val="lt-LT"/>
              </w:rPr>
              <w:t xml:space="preserve"> </w:t>
            </w:r>
            <w:proofErr w:type="spellStart"/>
            <w:r w:rsidR="00883F45" w:rsidRPr="00495B33">
              <w:rPr>
                <w:sz w:val="22"/>
                <w:szCs w:val="22"/>
                <w:lang w:val="lt-LT"/>
              </w:rPr>
              <w:t>surname</w:t>
            </w:r>
            <w:r w:rsidR="00B65DF1" w:rsidRPr="00495B33">
              <w:rPr>
                <w:sz w:val="22"/>
                <w:szCs w:val="22"/>
                <w:lang w:val="lt-LT"/>
              </w:rPr>
              <w:t>s</w:t>
            </w:r>
            <w:proofErr w:type="spellEnd"/>
            <w:r w:rsidR="00883F45" w:rsidRPr="00495B33">
              <w:rPr>
                <w:sz w:val="22"/>
                <w:szCs w:val="22"/>
                <w:lang w:val="lt-LT"/>
              </w:rPr>
              <w:t xml:space="preserve"> </w:t>
            </w:r>
          </w:p>
        </w:tc>
        <w:tc>
          <w:tcPr>
            <w:tcW w:w="1701" w:type="dxa"/>
            <w:tcBorders>
              <w:top w:val="single" w:sz="12" w:space="0" w:color="auto"/>
              <w:left w:val="single" w:sz="12" w:space="0" w:color="auto"/>
              <w:bottom w:val="single" w:sz="12" w:space="0" w:color="auto"/>
              <w:right w:val="single" w:sz="12" w:space="0" w:color="auto"/>
            </w:tcBorders>
            <w:shd w:val="clear" w:color="auto" w:fill="F2F2F2"/>
          </w:tcPr>
          <w:p w:rsidR="00D83738" w:rsidRPr="00495B33" w:rsidRDefault="003171A5">
            <w:pPr>
              <w:rPr>
                <w:sz w:val="22"/>
                <w:szCs w:val="22"/>
                <w:lang w:val="lt-LT"/>
              </w:rPr>
            </w:pPr>
            <w:proofErr w:type="spellStart"/>
            <w:r w:rsidRPr="00495B33">
              <w:rPr>
                <w:sz w:val="22"/>
                <w:szCs w:val="22"/>
                <w:lang w:val="lt-LT"/>
              </w:rPr>
              <w:t>Academic</w:t>
            </w:r>
            <w:proofErr w:type="spellEnd"/>
            <w:r w:rsidRPr="00495B33">
              <w:rPr>
                <w:sz w:val="22"/>
                <w:szCs w:val="22"/>
                <w:lang w:val="lt-LT"/>
              </w:rPr>
              <w:t xml:space="preserve"> </w:t>
            </w:r>
            <w:proofErr w:type="spellStart"/>
            <w:r w:rsidRPr="00495B33">
              <w:rPr>
                <w:sz w:val="22"/>
                <w:szCs w:val="22"/>
                <w:lang w:val="lt-LT"/>
              </w:rPr>
              <w:t>degree</w:t>
            </w:r>
            <w:proofErr w:type="spellEnd"/>
          </w:p>
        </w:tc>
        <w:tc>
          <w:tcPr>
            <w:tcW w:w="4643" w:type="dxa"/>
            <w:tcBorders>
              <w:top w:val="single" w:sz="12" w:space="0" w:color="auto"/>
              <w:left w:val="single" w:sz="12" w:space="0" w:color="auto"/>
              <w:bottom w:val="single" w:sz="12" w:space="0" w:color="auto"/>
              <w:right w:val="single" w:sz="12" w:space="0" w:color="auto"/>
            </w:tcBorders>
            <w:shd w:val="clear" w:color="auto" w:fill="F2F2F2"/>
          </w:tcPr>
          <w:p w:rsidR="00D83738" w:rsidRPr="00495B33" w:rsidRDefault="00ED2DF9">
            <w:pPr>
              <w:rPr>
                <w:sz w:val="22"/>
                <w:szCs w:val="22"/>
                <w:lang w:val="lt-LT"/>
              </w:rPr>
            </w:pPr>
            <w:proofErr w:type="spellStart"/>
            <w:r w:rsidRPr="00495B33">
              <w:rPr>
                <w:sz w:val="22"/>
                <w:szCs w:val="22"/>
                <w:lang w:val="lt-LT"/>
              </w:rPr>
              <w:t>Major</w:t>
            </w:r>
            <w:proofErr w:type="spellEnd"/>
            <w:r w:rsidRPr="00495B33">
              <w:rPr>
                <w:sz w:val="22"/>
                <w:szCs w:val="22"/>
                <w:lang w:val="lt-LT"/>
              </w:rPr>
              <w:t xml:space="preserve"> </w:t>
            </w:r>
            <w:proofErr w:type="spellStart"/>
            <w:r w:rsidRPr="00495B33">
              <w:rPr>
                <w:sz w:val="22"/>
                <w:szCs w:val="22"/>
                <w:lang w:val="lt-LT"/>
              </w:rPr>
              <w:t>works</w:t>
            </w:r>
            <w:proofErr w:type="spellEnd"/>
            <w:r w:rsidRPr="00495B33">
              <w:rPr>
                <w:sz w:val="22"/>
                <w:szCs w:val="22"/>
                <w:lang w:val="lt-LT"/>
              </w:rPr>
              <w:t xml:space="preserve"> </w:t>
            </w:r>
            <w:proofErr w:type="spellStart"/>
            <w:r w:rsidRPr="00495B33">
              <w:rPr>
                <w:sz w:val="22"/>
                <w:szCs w:val="22"/>
                <w:lang w:val="lt-LT"/>
              </w:rPr>
              <w:t>in</w:t>
            </w:r>
            <w:proofErr w:type="spellEnd"/>
            <w:r w:rsidRPr="00495B33">
              <w:rPr>
                <w:sz w:val="22"/>
                <w:szCs w:val="22"/>
                <w:lang w:val="lt-LT"/>
              </w:rPr>
              <w:t xml:space="preserve"> </w:t>
            </w:r>
            <w:proofErr w:type="spellStart"/>
            <w:r w:rsidRPr="00495B33">
              <w:rPr>
                <w:sz w:val="22"/>
                <w:szCs w:val="22"/>
                <w:lang w:val="lt-LT"/>
              </w:rPr>
              <w:t>the</w:t>
            </w:r>
            <w:proofErr w:type="spellEnd"/>
            <w:r w:rsidRPr="00495B33">
              <w:rPr>
                <w:sz w:val="22"/>
                <w:szCs w:val="22"/>
                <w:lang w:val="lt-LT"/>
              </w:rPr>
              <w:t xml:space="preserve"> </w:t>
            </w:r>
            <w:proofErr w:type="spellStart"/>
            <w:r w:rsidRPr="00495B33">
              <w:rPr>
                <w:sz w:val="22"/>
                <w:szCs w:val="22"/>
                <w:lang w:val="lt-LT"/>
              </w:rPr>
              <w:t>field</w:t>
            </w:r>
            <w:proofErr w:type="spellEnd"/>
            <w:r w:rsidRPr="00495B33">
              <w:rPr>
                <w:sz w:val="22"/>
                <w:szCs w:val="22"/>
                <w:lang w:val="lt-LT"/>
              </w:rPr>
              <w:t xml:space="preserve"> (</w:t>
            </w:r>
            <w:proofErr w:type="spellStart"/>
            <w:r w:rsidRPr="00495B33">
              <w:rPr>
                <w:sz w:val="22"/>
                <w:szCs w:val="22"/>
                <w:lang w:val="lt-LT"/>
              </w:rPr>
              <w:t>branch</w:t>
            </w:r>
            <w:proofErr w:type="spellEnd"/>
            <w:r w:rsidRPr="00495B33">
              <w:rPr>
                <w:sz w:val="22"/>
                <w:szCs w:val="22"/>
                <w:lang w:val="lt-LT"/>
              </w:rPr>
              <w:t xml:space="preserve">) </w:t>
            </w:r>
            <w:proofErr w:type="spellStart"/>
            <w:r w:rsidRPr="00495B33">
              <w:rPr>
                <w:sz w:val="22"/>
                <w:szCs w:val="22"/>
                <w:lang w:val="lt-LT"/>
              </w:rPr>
              <w:t>published</w:t>
            </w:r>
            <w:proofErr w:type="spellEnd"/>
            <w:r w:rsidRPr="00495B33">
              <w:rPr>
                <w:sz w:val="22"/>
                <w:szCs w:val="22"/>
                <w:lang w:val="lt-LT"/>
              </w:rPr>
              <w:t xml:space="preserve"> </w:t>
            </w:r>
            <w:proofErr w:type="spellStart"/>
            <w:r w:rsidRPr="00495B33">
              <w:rPr>
                <w:sz w:val="22"/>
                <w:szCs w:val="22"/>
                <w:lang w:val="lt-LT"/>
              </w:rPr>
              <w:t>in</w:t>
            </w:r>
            <w:proofErr w:type="spellEnd"/>
            <w:r w:rsidRPr="00495B33">
              <w:rPr>
                <w:sz w:val="22"/>
                <w:szCs w:val="22"/>
                <w:lang w:val="lt-LT"/>
              </w:rPr>
              <w:t xml:space="preserve"> </w:t>
            </w:r>
            <w:proofErr w:type="spellStart"/>
            <w:r w:rsidRPr="00495B33">
              <w:rPr>
                <w:sz w:val="22"/>
                <w:szCs w:val="22"/>
                <w:lang w:val="lt-LT"/>
              </w:rPr>
              <w:t>the</w:t>
            </w:r>
            <w:proofErr w:type="spellEnd"/>
            <w:r w:rsidRPr="00495B33">
              <w:rPr>
                <w:sz w:val="22"/>
                <w:szCs w:val="22"/>
                <w:lang w:val="lt-LT"/>
              </w:rPr>
              <w:t xml:space="preserve"> </w:t>
            </w:r>
            <w:proofErr w:type="spellStart"/>
            <w:r w:rsidRPr="00495B33">
              <w:rPr>
                <w:sz w:val="22"/>
                <w:szCs w:val="22"/>
                <w:lang w:val="lt-LT"/>
              </w:rPr>
              <w:t>recent</w:t>
            </w:r>
            <w:proofErr w:type="spellEnd"/>
            <w:r w:rsidRPr="00495B33">
              <w:rPr>
                <w:sz w:val="22"/>
                <w:szCs w:val="22"/>
                <w:lang w:val="lt-LT"/>
              </w:rPr>
              <w:t xml:space="preserve"> 5 </w:t>
            </w:r>
            <w:proofErr w:type="spellStart"/>
            <w:r w:rsidRPr="00495B33">
              <w:rPr>
                <w:sz w:val="22"/>
                <w:szCs w:val="22"/>
                <w:lang w:val="lt-LT"/>
              </w:rPr>
              <w:t>years</w:t>
            </w:r>
            <w:proofErr w:type="spellEnd"/>
          </w:p>
        </w:tc>
      </w:tr>
      <w:tr w:rsidR="00495B33" w:rsidRPr="00495B33" w:rsidTr="00495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3"/>
        </w:trPr>
        <w:tc>
          <w:tcPr>
            <w:tcW w:w="2943" w:type="dxa"/>
            <w:tcBorders>
              <w:left w:val="single" w:sz="12" w:space="0" w:color="auto"/>
            </w:tcBorders>
          </w:tcPr>
          <w:p w:rsidR="00495B33" w:rsidRPr="00495B33" w:rsidRDefault="00495B33" w:rsidP="00495B33">
            <w:pPr>
              <w:rPr>
                <w:sz w:val="22"/>
                <w:szCs w:val="22"/>
                <w:lang w:val="lt-LT"/>
              </w:rPr>
            </w:pPr>
            <w:r w:rsidRPr="00495B33">
              <w:rPr>
                <w:sz w:val="22"/>
                <w:szCs w:val="22"/>
                <w:lang w:val="lt-LT"/>
              </w:rPr>
              <w:lastRenderedPageBreak/>
              <w:t xml:space="preserve">Tamara </w:t>
            </w:r>
            <w:proofErr w:type="spellStart"/>
            <w:r w:rsidRPr="00495B33">
              <w:rPr>
                <w:sz w:val="22"/>
                <w:szCs w:val="22"/>
                <w:lang w:val="lt-LT"/>
              </w:rPr>
              <w:t>Bairašauskaitė</w:t>
            </w:r>
            <w:proofErr w:type="spellEnd"/>
          </w:p>
          <w:p w:rsidR="00495B33" w:rsidRPr="00495B33" w:rsidRDefault="00495B33">
            <w:pPr>
              <w:jc w:val="center"/>
              <w:rPr>
                <w:b/>
                <w:sz w:val="22"/>
                <w:szCs w:val="22"/>
                <w:lang w:val="lt-LT"/>
              </w:rPr>
            </w:pPr>
          </w:p>
          <w:p w:rsidR="00495B33" w:rsidRPr="00495B33" w:rsidRDefault="00495B33" w:rsidP="00F432EE">
            <w:pPr>
              <w:jc w:val="center"/>
              <w:rPr>
                <w:sz w:val="22"/>
                <w:szCs w:val="22"/>
                <w:lang w:val="lt-LT"/>
              </w:rPr>
            </w:pPr>
          </w:p>
        </w:tc>
        <w:tc>
          <w:tcPr>
            <w:tcW w:w="1701" w:type="dxa"/>
            <w:tcBorders>
              <w:left w:val="single" w:sz="12" w:space="0" w:color="auto"/>
            </w:tcBorders>
          </w:tcPr>
          <w:p w:rsidR="00495B33" w:rsidRPr="00495B33" w:rsidRDefault="00495B33" w:rsidP="00495B33">
            <w:pPr>
              <w:rPr>
                <w:sz w:val="22"/>
                <w:szCs w:val="22"/>
                <w:lang w:val="lt-LT"/>
              </w:rPr>
            </w:pPr>
            <w:proofErr w:type="spellStart"/>
            <w:r w:rsidRPr="00495B33">
              <w:rPr>
                <w:sz w:val="22"/>
                <w:szCs w:val="22"/>
                <w:lang w:val="lt-LT"/>
              </w:rPr>
              <w:t>Habil.dr</w:t>
            </w:r>
            <w:proofErr w:type="spellEnd"/>
            <w:r w:rsidRPr="00495B33">
              <w:rPr>
                <w:sz w:val="22"/>
                <w:szCs w:val="22"/>
                <w:lang w:val="lt-LT"/>
              </w:rPr>
              <w:t xml:space="preserve">., </w:t>
            </w:r>
            <w:proofErr w:type="spellStart"/>
            <w:r w:rsidRPr="00495B33">
              <w:rPr>
                <w:sz w:val="22"/>
                <w:szCs w:val="22"/>
                <w:lang w:val="lt-LT"/>
              </w:rPr>
              <w:t>Professor</w:t>
            </w:r>
            <w:proofErr w:type="spellEnd"/>
          </w:p>
        </w:tc>
        <w:tc>
          <w:tcPr>
            <w:tcW w:w="4643" w:type="dxa"/>
            <w:tcBorders>
              <w:left w:val="single" w:sz="12" w:space="0" w:color="auto"/>
              <w:right w:val="single" w:sz="12" w:space="0" w:color="auto"/>
            </w:tcBorders>
          </w:tcPr>
          <w:p w:rsidR="00495B33" w:rsidRPr="00495B33" w:rsidRDefault="00495B33" w:rsidP="00495B33">
            <w:pPr>
              <w:jc w:val="both"/>
              <w:rPr>
                <w:sz w:val="22"/>
                <w:szCs w:val="22"/>
                <w:lang w:val="lt-LT"/>
              </w:rPr>
            </w:pPr>
            <w:r w:rsidRPr="00495B33">
              <w:rPr>
                <w:i/>
                <w:iCs/>
                <w:sz w:val="22"/>
                <w:szCs w:val="22"/>
                <w:lang w:val="lt-LT"/>
              </w:rPr>
              <w:t>Lietuvos totorių istorija</w:t>
            </w:r>
            <w:r w:rsidRPr="00495B33">
              <w:rPr>
                <w:sz w:val="22"/>
                <w:szCs w:val="22"/>
                <w:lang w:val="lt-LT"/>
              </w:rPr>
              <w:t>, Vilnius: Lietuvos istorijos institutas, 2021, 496 p.</w:t>
            </w:r>
          </w:p>
          <w:p w:rsidR="00495B33" w:rsidRPr="00495B33" w:rsidRDefault="00495B33" w:rsidP="00495B33">
            <w:pPr>
              <w:pStyle w:val="Body"/>
              <w:shd w:val="clear" w:color="auto" w:fill="FFFFFF"/>
              <w:spacing w:after="0" w:line="240" w:lineRule="auto"/>
              <w:jc w:val="both"/>
              <w:rPr>
                <w:rFonts w:ascii="Times New Roman" w:hAnsi="Times New Roman" w:cs="Times New Roman"/>
                <w:lang w:val="lt-LT"/>
              </w:rPr>
            </w:pPr>
            <w:r w:rsidRPr="00495B33">
              <w:rPr>
                <w:rFonts w:ascii="Times New Roman" w:hAnsi="Times New Roman" w:cs="Times New Roman"/>
                <w:i/>
                <w:iCs/>
              </w:rPr>
              <w:t>1863–1864 metų sukilėlių kelias į mirtį ir atgimimą</w:t>
            </w:r>
            <w:r w:rsidRPr="00495B33">
              <w:rPr>
                <w:rFonts w:ascii="Times New Roman" w:hAnsi="Times New Roman" w:cs="Times New Roman"/>
              </w:rPr>
              <w:t xml:space="preserve">, kolektyvinė monografija, sud. T. Bairašauskaitė, Vilnius: Lietuvos nacionalinis muziejus, 2019, (autorinis tekstas p. 37–92). </w:t>
            </w:r>
          </w:p>
          <w:p w:rsidR="00495B33" w:rsidRPr="00495B33" w:rsidRDefault="00495B33" w:rsidP="00495B33">
            <w:pPr>
              <w:rPr>
                <w:sz w:val="22"/>
                <w:szCs w:val="22"/>
                <w:lang w:val="lt-LT"/>
              </w:rPr>
            </w:pPr>
            <w:r w:rsidRPr="00495B33">
              <w:rPr>
                <w:i/>
                <w:iCs/>
                <w:sz w:val="22"/>
                <w:szCs w:val="22"/>
                <w:lang w:val="lt-LT"/>
              </w:rPr>
              <w:t>Bajorų dvaras keičia savininką. Vilniaus, Kauno ir Gardino gubernijų dvarų likimai 1863–1914 metais</w:t>
            </w:r>
            <w:r w:rsidRPr="00495B33">
              <w:rPr>
                <w:sz w:val="22"/>
                <w:szCs w:val="22"/>
                <w:lang w:val="lt-LT"/>
              </w:rPr>
              <w:t>, Vilnius: Lietuvos istorijos institutas, 2018, 480 p.</w:t>
            </w:r>
          </w:p>
          <w:p w:rsidR="00495B33" w:rsidRPr="00495B33" w:rsidRDefault="00495B33" w:rsidP="00495B33">
            <w:pPr>
              <w:shd w:val="clear" w:color="auto" w:fill="FFFFFF"/>
              <w:spacing w:before="100" w:beforeAutospacing="1" w:after="100" w:afterAutospacing="1"/>
              <w:jc w:val="both"/>
              <w:outlineLvl w:val="1"/>
              <w:rPr>
                <w:sz w:val="22"/>
                <w:szCs w:val="22"/>
                <w:lang w:val="lt-LT"/>
              </w:rPr>
            </w:pPr>
            <w:r w:rsidRPr="00495B33">
              <w:rPr>
                <w:sz w:val="22"/>
                <w:szCs w:val="22"/>
                <w:lang w:val="lt-LT"/>
              </w:rPr>
              <w:t xml:space="preserve">Bajorystės patikrinimas ir Lietuvos bajorų genealoginis sąjūdis XIX a. pirmojoje pusėje, </w:t>
            </w:r>
            <w:r w:rsidRPr="00495B33">
              <w:rPr>
                <w:i/>
                <w:iCs/>
                <w:sz w:val="22"/>
                <w:szCs w:val="22"/>
                <w:lang w:val="lt-LT"/>
              </w:rPr>
              <w:t>Lietuvos istorijos metraštis</w:t>
            </w:r>
            <w:r w:rsidRPr="00495B33">
              <w:rPr>
                <w:sz w:val="22"/>
                <w:szCs w:val="22"/>
                <w:lang w:val="lt-LT"/>
              </w:rPr>
              <w:t>, 2018/1, Vilnius, 2018, p. 79–110.</w:t>
            </w:r>
          </w:p>
          <w:p w:rsidR="00495B33" w:rsidRPr="00495B33" w:rsidRDefault="00495B33" w:rsidP="00495B33">
            <w:pPr>
              <w:shd w:val="clear" w:color="auto" w:fill="FFFFFF"/>
              <w:spacing w:before="100" w:beforeAutospacing="1" w:after="100" w:afterAutospacing="1"/>
              <w:jc w:val="both"/>
              <w:outlineLvl w:val="1"/>
              <w:rPr>
                <w:sz w:val="22"/>
                <w:szCs w:val="22"/>
                <w:lang w:val="lt-LT"/>
              </w:rPr>
            </w:pPr>
            <w:r w:rsidRPr="00495B33">
              <w:rPr>
                <w:sz w:val="22"/>
                <w:szCs w:val="22"/>
                <w:lang w:val="lt-LT"/>
              </w:rPr>
              <w:t xml:space="preserve">Adomo Krescencijaus Gabrieliaus </w:t>
            </w:r>
            <w:proofErr w:type="spellStart"/>
            <w:r w:rsidRPr="00495B33">
              <w:rPr>
                <w:sz w:val="22"/>
                <w:szCs w:val="22"/>
                <w:lang w:val="lt-LT"/>
              </w:rPr>
              <w:t>Lopacinskio</w:t>
            </w:r>
            <w:proofErr w:type="spellEnd"/>
            <w:r w:rsidRPr="00495B33">
              <w:rPr>
                <w:sz w:val="22"/>
                <w:szCs w:val="22"/>
                <w:lang w:val="lt-LT"/>
              </w:rPr>
              <w:t xml:space="preserve"> genealogijų dirbtuvė (XIX a. septintasis-devintasis dešimtmetis), </w:t>
            </w:r>
            <w:r w:rsidRPr="00495B33">
              <w:rPr>
                <w:i/>
                <w:iCs/>
                <w:sz w:val="22"/>
                <w:szCs w:val="22"/>
                <w:lang w:val="lt-LT"/>
              </w:rPr>
              <w:t>Lietuvos istorijos metraštis</w:t>
            </w:r>
            <w:r w:rsidRPr="00495B33">
              <w:rPr>
                <w:sz w:val="22"/>
                <w:szCs w:val="22"/>
                <w:lang w:val="lt-LT"/>
              </w:rPr>
              <w:t>, 2019/2, Vilnius, 2019, p. 113–136.</w:t>
            </w:r>
          </w:p>
          <w:p w:rsidR="00495B33" w:rsidRPr="00495B33" w:rsidRDefault="00495B33" w:rsidP="00495B33">
            <w:pPr>
              <w:shd w:val="clear" w:color="auto" w:fill="FFFFFF"/>
              <w:spacing w:before="100" w:beforeAutospacing="1" w:after="100" w:afterAutospacing="1"/>
              <w:jc w:val="both"/>
              <w:outlineLvl w:val="1"/>
              <w:rPr>
                <w:sz w:val="22"/>
                <w:szCs w:val="22"/>
                <w:lang w:val="lt-LT"/>
              </w:rPr>
            </w:pPr>
            <w:r w:rsidRPr="00495B33">
              <w:rPr>
                <w:sz w:val="22"/>
                <w:szCs w:val="22"/>
                <w:lang w:val="pl-PL"/>
              </w:rPr>
              <w:t xml:space="preserve">Kilka uwag o wydawaniu przez dwóch filomatów i jednego Tatara Koranu w przekładzie na język polski”, </w:t>
            </w:r>
            <w:r w:rsidRPr="00495B33">
              <w:rPr>
                <w:i/>
                <w:iCs/>
                <w:sz w:val="22"/>
                <w:szCs w:val="22"/>
                <w:lang w:val="pl-PL"/>
              </w:rPr>
              <w:t>Rękopis z Czombrowa. Filomacki przekład Koranu – edycja i studium historyczno-filologiczne zabytku</w:t>
            </w:r>
            <w:r w:rsidRPr="00495B33">
              <w:rPr>
                <w:sz w:val="22"/>
                <w:szCs w:val="22"/>
                <w:lang w:val="pl-PL"/>
              </w:rPr>
              <w:t>, ed. Joanna Kulwicka-Kamińska i Czesław Łapicz, Toruń: Wydawnictwo Naukowe Uniwersytetu Mikołaja Kopernika, 2019, s. 85–96.</w:t>
            </w:r>
          </w:p>
          <w:p w:rsidR="00495B33" w:rsidRPr="00495B33" w:rsidRDefault="00495B33" w:rsidP="00495B33">
            <w:pPr>
              <w:jc w:val="both"/>
              <w:rPr>
                <w:sz w:val="22"/>
                <w:szCs w:val="22"/>
                <w:lang w:val="lt-LT"/>
              </w:rPr>
            </w:pPr>
            <w:r w:rsidRPr="00495B33">
              <w:rPr>
                <w:sz w:val="22"/>
                <w:szCs w:val="22"/>
                <w:lang w:val="pl-PL"/>
              </w:rPr>
              <w:t xml:space="preserve">Kilka uwag o życiu i twórczości Jerzego Ręczyńskiego, autora poematu Dziewica Litwy Emilia Plater, </w:t>
            </w:r>
            <w:r w:rsidRPr="00495B33">
              <w:rPr>
                <w:i/>
                <w:iCs/>
                <w:sz w:val="22"/>
                <w:szCs w:val="22"/>
                <w:lang w:val="pl-PL"/>
              </w:rPr>
              <w:t>Rocznik Lituanistyczny</w:t>
            </w:r>
            <w:r w:rsidRPr="00495B33">
              <w:rPr>
                <w:sz w:val="22"/>
                <w:szCs w:val="22"/>
                <w:lang w:val="pl-PL"/>
              </w:rPr>
              <w:t>, t. 6, 2020, s. 197–220.</w:t>
            </w:r>
          </w:p>
          <w:p w:rsidR="00495B33" w:rsidRPr="00495B33" w:rsidRDefault="00495B33" w:rsidP="00495B33">
            <w:pPr>
              <w:jc w:val="both"/>
              <w:rPr>
                <w:sz w:val="22"/>
                <w:szCs w:val="22"/>
                <w:lang w:val="lt-LT"/>
              </w:rPr>
            </w:pPr>
            <w:r w:rsidRPr="00495B33">
              <w:rPr>
                <w:sz w:val="22"/>
                <w:szCs w:val="22"/>
              </w:rPr>
              <w:t xml:space="preserve">The Rights and Privileges of the Polish-Lithuanian Nobility: a Benchmark for the Russian </w:t>
            </w:r>
            <w:proofErr w:type="gramStart"/>
            <w:r w:rsidRPr="00495B33">
              <w:rPr>
                <w:sz w:val="22"/>
                <w:szCs w:val="22"/>
              </w:rPr>
              <w:t>Empire‘</w:t>
            </w:r>
            <w:proofErr w:type="gramEnd"/>
            <w:r w:rsidRPr="00495B33">
              <w:rPr>
                <w:sz w:val="22"/>
                <w:szCs w:val="22"/>
              </w:rPr>
              <w:t xml:space="preserve">s Legislation o the Latter Half of the Eighteenth and Early Nineteenth Century? </w:t>
            </w:r>
            <w:r w:rsidRPr="00495B33">
              <w:rPr>
                <w:i/>
                <w:iCs/>
                <w:sz w:val="22"/>
                <w:szCs w:val="22"/>
              </w:rPr>
              <w:t>The Polish-Lithuanian Commonwealth. History, Memory, Legacy</w:t>
            </w:r>
            <w:r w:rsidRPr="00495B33">
              <w:rPr>
                <w:sz w:val="22"/>
                <w:szCs w:val="22"/>
              </w:rPr>
              <w:t xml:space="preserve">, edited by Andrzej </w:t>
            </w:r>
            <w:proofErr w:type="spellStart"/>
            <w:r w:rsidRPr="00495B33">
              <w:rPr>
                <w:sz w:val="22"/>
                <w:szCs w:val="22"/>
              </w:rPr>
              <w:t>Chwalba</w:t>
            </w:r>
            <w:proofErr w:type="spellEnd"/>
            <w:r w:rsidRPr="00495B33">
              <w:rPr>
                <w:sz w:val="22"/>
                <w:szCs w:val="22"/>
              </w:rPr>
              <w:t xml:space="preserve"> and Krzysztof </w:t>
            </w:r>
            <w:proofErr w:type="spellStart"/>
            <w:r w:rsidRPr="00495B33">
              <w:rPr>
                <w:sz w:val="22"/>
                <w:szCs w:val="22"/>
              </w:rPr>
              <w:t>Zamorski</w:t>
            </w:r>
            <w:proofErr w:type="spellEnd"/>
            <w:r w:rsidRPr="00495B33">
              <w:rPr>
                <w:sz w:val="22"/>
                <w:szCs w:val="22"/>
              </w:rPr>
              <w:t>, New York and London: Routledge, Taylor &amp; Francis Group, 2021, p. 292–303.</w:t>
            </w:r>
          </w:p>
          <w:p w:rsidR="00495B33" w:rsidRPr="00495B33" w:rsidRDefault="00495B33" w:rsidP="00A47253">
            <w:pPr>
              <w:jc w:val="both"/>
              <w:rPr>
                <w:sz w:val="22"/>
                <w:szCs w:val="22"/>
                <w:lang w:val="lt-LT"/>
              </w:rPr>
            </w:pPr>
          </w:p>
        </w:tc>
      </w:tr>
      <w:tr w:rsidR="00A965CE" w:rsidRPr="00495B33" w:rsidTr="00495B33">
        <w:tc>
          <w:tcPr>
            <w:tcW w:w="9286" w:type="dxa"/>
            <w:gridSpan w:val="3"/>
          </w:tcPr>
          <w:p w:rsidR="009404F1" w:rsidRPr="00495B33" w:rsidRDefault="009404F1" w:rsidP="009404F1">
            <w:pPr>
              <w:pStyle w:val="TableParagraph"/>
              <w:ind w:right="163"/>
            </w:pPr>
            <w:proofErr w:type="spellStart"/>
            <w:r w:rsidRPr="00495B33">
              <w:t>Approved</w:t>
            </w:r>
            <w:proofErr w:type="spellEnd"/>
            <w:r w:rsidRPr="00495B33">
              <w:t xml:space="preserve"> </w:t>
            </w:r>
            <w:proofErr w:type="spellStart"/>
            <w:r w:rsidRPr="00495B33">
              <w:t>by</w:t>
            </w:r>
            <w:proofErr w:type="spellEnd"/>
            <w:r w:rsidRPr="00495B33">
              <w:t xml:space="preserve"> </w:t>
            </w:r>
            <w:proofErr w:type="spellStart"/>
            <w:r w:rsidRPr="00495B33">
              <w:t>the</w:t>
            </w:r>
            <w:proofErr w:type="spellEnd"/>
            <w:r w:rsidRPr="00495B33">
              <w:t xml:space="preserve"> </w:t>
            </w:r>
            <w:proofErr w:type="spellStart"/>
            <w:r w:rsidRPr="00495B33">
              <w:t>Doctoral</w:t>
            </w:r>
            <w:proofErr w:type="spellEnd"/>
            <w:r w:rsidRPr="00495B33">
              <w:t xml:space="preserve"> </w:t>
            </w:r>
            <w:proofErr w:type="spellStart"/>
            <w:r w:rsidRPr="00495B33">
              <w:t>Committee</w:t>
            </w:r>
            <w:proofErr w:type="spellEnd"/>
            <w:r w:rsidRPr="00495B33">
              <w:t xml:space="preserve"> </w:t>
            </w:r>
            <w:proofErr w:type="spellStart"/>
            <w:r w:rsidRPr="00495B33">
              <w:t>of</w:t>
            </w:r>
            <w:proofErr w:type="spellEnd"/>
            <w:r w:rsidRPr="00495B33">
              <w:t xml:space="preserve"> </w:t>
            </w:r>
            <w:proofErr w:type="spellStart"/>
            <w:r w:rsidRPr="00495B33">
              <w:t>History</w:t>
            </w:r>
            <w:proofErr w:type="spellEnd"/>
            <w:r w:rsidRPr="00495B33">
              <w:t xml:space="preserve"> </w:t>
            </w:r>
            <w:proofErr w:type="spellStart"/>
            <w:r w:rsidRPr="00495B33">
              <w:t>and</w:t>
            </w:r>
            <w:proofErr w:type="spellEnd"/>
            <w:r w:rsidRPr="00495B33">
              <w:t xml:space="preserve"> </w:t>
            </w:r>
            <w:proofErr w:type="spellStart"/>
            <w:r w:rsidRPr="00495B33">
              <w:t>Archaeology</w:t>
            </w:r>
            <w:proofErr w:type="spellEnd"/>
            <w:r w:rsidRPr="00495B33">
              <w:t xml:space="preserve"> </w:t>
            </w:r>
          </w:p>
          <w:p w:rsidR="00A965CE" w:rsidRPr="00495B33" w:rsidRDefault="009404F1" w:rsidP="00C31F08">
            <w:pPr>
              <w:pStyle w:val="TableParagraph"/>
              <w:tabs>
                <w:tab w:val="left" w:pos="7546"/>
                <w:tab w:val="left" w:pos="8094"/>
              </w:tabs>
              <w:spacing w:before="7" w:line="247" w:lineRule="auto"/>
              <w:ind w:right="142"/>
            </w:pPr>
            <w:r w:rsidRPr="00495B33">
              <w:t xml:space="preserve">28 </w:t>
            </w:r>
            <w:proofErr w:type="spellStart"/>
            <w:r w:rsidRPr="00495B33">
              <w:t>September</w:t>
            </w:r>
            <w:proofErr w:type="spellEnd"/>
            <w:r w:rsidRPr="00495B33">
              <w:t xml:space="preserve"> 2021, </w:t>
            </w:r>
            <w:proofErr w:type="spellStart"/>
            <w:r w:rsidRPr="00495B33">
              <w:t>No</w:t>
            </w:r>
            <w:proofErr w:type="spellEnd"/>
            <w:r w:rsidRPr="00495B33">
              <w:t xml:space="preserve"> 170000-KT-47.</w:t>
            </w:r>
          </w:p>
        </w:tc>
      </w:tr>
      <w:tr w:rsidR="00A965CE" w:rsidRPr="00495B33" w:rsidTr="00495B33">
        <w:tc>
          <w:tcPr>
            <w:tcW w:w="9286" w:type="dxa"/>
            <w:gridSpan w:val="3"/>
          </w:tcPr>
          <w:p w:rsidR="00A965CE" w:rsidRPr="00495B33" w:rsidRDefault="00B72167" w:rsidP="00A965CE">
            <w:pPr>
              <w:spacing w:before="120" w:after="120"/>
              <w:rPr>
                <w:sz w:val="22"/>
                <w:szCs w:val="22"/>
                <w:lang w:val="lt-LT"/>
              </w:rPr>
            </w:pPr>
            <w:r w:rsidRPr="00495B33">
              <w:rPr>
                <w:sz w:val="22"/>
                <w:szCs w:val="22"/>
              </w:rPr>
              <w:t xml:space="preserve">Chair of the Doctoral Committee Prof. </w:t>
            </w:r>
            <w:proofErr w:type="spellStart"/>
            <w:r w:rsidRPr="00495B33">
              <w:rPr>
                <w:sz w:val="22"/>
                <w:szCs w:val="22"/>
              </w:rPr>
              <w:t>habil</w:t>
            </w:r>
            <w:proofErr w:type="spellEnd"/>
            <w:r w:rsidRPr="00495B33">
              <w:rPr>
                <w:sz w:val="22"/>
                <w:szCs w:val="22"/>
              </w:rPr>
              <w:t>.</w:t>
            </w:r>
            <w:r w:rsidR="00862EAA" w:rsidRPr="00495B33">
              <w:rPr>
                <w:sz w:val="22"/>
                <w:szCs w:val="22"/>
              </w:rPr>
              <w:t xml:space="preserve"> </w:t>
            </w:r>
            <w:r w:rsidRPr="00495B33">
              <w:rPr>
                <w:sz w:val="22"/>
                <w:szCs w:val="22"/>
              </w:rPr>
              <w:t xml:space="preserve">dr. Tamara </w:t>
            </w:r>
            <w:proofErr w:type="spellStart"/>
            <w:r w:rsidRPr="00495B33">
              <w:rPr>
                <w:sz w:val="22"/>
                <w:szCs w:val="22"/>
              </w:rPr>
              <w:t>Bairašauskaitė</w:t>
            </w:r>
            <w:proofErr w:type="spellEnd"/>
            <w:r w:rsidRPr="00495B33">
              <w:rPr>
                <w:sz w:val="22"/>
                <w:szCs w:val="22"/>
              </w:rPr>
              <w:t xml:space="preserve"> </w:t>
            </w:r>
          </w:p>
        </w:tc>
      </w:tr>
      <w:bookmarkEnd w:id="0"/>
    </w:tbl>
    <w:p w:rsidR="002D3C12" w:rsidRPr="001218B6" w:rsidRDefault="002D3C12" w:rsidP="00600C1B">
      <w:pPr>
        <w:rPr>
          <w:sz w:val="22"/>
          <w:szCs w:val="22"/>
          <w:lang w:val="lt-LT"/>
        </w:rPr>
      </w:pPr>
    </w:p>
    <w:sectPr w:rsidR="002D3C12" w:rsidRPr="001218B6">
      <w:pgSz w:w="11906" w:h="16838"/>
      <w:pgMar w:top="1440" w:right="1800" w:bottom="1440" w:left="18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4F"/>
    <w:rsid w:val="00027F73"/>
    <w:rsid w:val="00037733"/>
    <w:rsid w:val="000F6CFD"/>
    <w:rsid w:val="001218B6"/>
    <w:rsid w:val="001727DA"/>
    <w:rsid w:val="00216D07"/>
    <w:rsid w:val="00252CBA"/>
    <w:rsid w:val="002D3C12"/>
    <w:rsid w:val="002D7AD1"/>
    <w:rsid w:val="003171A5"/>
    <w:rsid w:val="0032414F"/>
    <w:rsid w:val="0035258E"/>
    <w:rsid w:val="00354267"/>
    <w:rsid w:val="0043659D"/>
    <w:rsid w:val="00495B33"/>
    <w:rsid w:val="004B2BA4"/>
    <w:rsid w:val="005A243D"/>
    <w:rsid w:val="005A3568"/>
    <w:rsid w:val="00600C1B"/>
    <w:rsid w:val="00634D66"/>
    <w:rsid w:val="00654E78"/>
    <w:rsid w:val="00745232"/>
    <w:rsid w:val="007E5C78"/>
    <w:rsid w:val="00862EAA"/>
    <w:rsid w:val="00875171"/>
    <w:rsid w:val="00883F45"/>
    <w:rsid w:val="009404F1"/>
    <w:rsid w:val="009708B7"/>
    <w:rsid w:val="009844CC"/>
    <w:rsid w:val="00A965CE"/>
    <w:rsid w:val="00B65DF1"/>
    <w:rsid w:val="00B72167"/>
    <w:rsid w:val="00C309D5"/>
    <w:rsid w:val="00C31F08"/>
    <w:rsid w:val="00C743B6"/>
    <w:rsid w:val="00CA6702"/>
    <w:rsid w:val="00D00EBD"/>
    <w:rsid w:val="00D70EFD"/>
    <w:rsid w:val="00D83738"/>
    <w:rsid w:val="00ED2DF9"/>
    <w:rsid w:val="00F00A7D"/>
    <w:rsid w:val="00F76EBE"/>
    <w:rsid w:val="00FA5C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13FD5F"/>
  <w15:chartTrackingRefBased/>
  <w15:docId w15:val="{6B1AEDED-8FD1-4B08-9340-4A9BC0EE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E78"/>
    <w:rPr>
      <w:rFonts w:ascii="Tahoma" w:hAnsi="Tahoma" w:cs="Tahoma"/>
      <w:sz w:val="16"/>
      <w:szCs w:val="16"/>
    </w:rPr>
  </w:style>
  <w:style w:type="character" w:customStyle="1" w:styleId="BalloonTextChar">
    <w:name w:val="Balloon Text Char"/>
    <w:link w:val="BalloonText"/>
    <w:uiPriority w:val="99"/>
    <w:semiHidden/>
    <w:rsid w:val="00654E78"/>
    <w:rPr>
      <w:rFonts w:ascii="Tahoma" w:hAnsi="Tahoma" w:cs="Tahoma"/>
      <w:sz w:val="16"/>
      <w:szCs w:val="16"/>
      <w:lang w:val="en-GB"/>
    </w:rPr>
  </w:style>
  <w:style w:type="paragraph" w:customStyle="1" w:styleId="TableParagraph">
    <w:name w:val="Table Paragraph"/>
    <w:basedOn w:val="Normal"/>
    <w:uiPriority w:val="1"/>
    <w:qFormat/>
    <w:rsid w:val="00A965CE"/>
    <w:pPr>
      <w:widowControl w:val="0"/>
      <w:autoSpaceDE w:val="0"/>
      <w:autoSpaceDN w:val="0"/>
    </w:pPr>
    <w:rPr>
      <w:sz w:val="22"/>
      <w:szCs w:val="22"/>
      <w:lang w:val="lt-LT" w:bidi="lt-LT"/>
    </w:rPr>
  </w:style>
  <w:style w:type="character" w:customStyle="1" w:styleId="q4iawc">
    <w:name w:val="q4iawc"/>
    <w:basedOn w:val="DefaultParagraphFont"/>
    <w:rsid w:val="00216D07"/>
  </w:style>
  <w:style w:type="paragraph" w:customStyle="1" w:styleId="Body">
    <w:name w:val="Body"/>
    <w:rsid w:val="00495B3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3082</Words>
  <Characters>1758</Characters>
  <Application>Microsoft Office Word</Application>
  <DocSecurity>0</DocSecurity>
  <Lines>14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DOKTORANTŪROS STUDIJŲ KURSO PROGRAMA</vt:lpstr>
      <vt:lpstr>DOKTORANTŪROS STUDIJŲ KURSO PROGRAMA</vt:lpstr>
    </vt:vector>
  </TitlesOfParts>
  <Company>VU Filologijos fakultetas</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DOKTORANTŪROS STUDIJŲ KURSO PROGRAMA</dc:title>
  <dc:subject/>
  <dc:creator>VU Fil. fak.</dc:creator>
  <cp:keywords/>
  <cp:lastModifiedBy>332</cp:lastModifiedBy>
  <cp:revision>12</cp:revision>
  <cp:lastPrinted>2012-04-27T08:36:00Z</cp:lastPrinted>
  <dcterms:created xsi:type="dcterms:W3CDTF">2022-05-09T10:22:00Z</dcterms:created>
  <dcterms:modified xsi:type="dcterms:W3CDTF">2022-09-05T11:49:00Z</dcterms:modified>
</cp:coreProperties>
</file>